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25000" w14:textId="64D3EC71" w:rsidR="008F5DA1" w:rsidRPr="004E2B72" w:rsidRDefault="003279EA" w:rsidP="00731952">
      <w:pPr>
        <w:pStyle w:val="Nzev"/>
        <w:rPr>
          <w:rFonts w:cs="Arial"/>
        </w:rPr>
      </w:pPr>
      <w:r w:rsidRPr="004E2B72">
        <w:rPr>
          <w:rFonts w:cs="Arial"/>
        </w:rPr>
        <w:t>M</w:t>
      </w:r>
      <w:r w:rsidR="00264B46" w:rsidRPr="004E2B72">
        <w:rPr>
          <w:rFonts w:cs="Arial"/>
        </w:rPr>
        <w:t xml:space="preserve">etodika </w:t>
      </w:r>
      <w:r w:rsidR="00AE5D3B" w:rsidRPr="004E2B72">
        <w:rPr>
          <w:rFonts w:cs="Arial"/>
        </w:rPr>
        <w:t xml:space="preserve">výpočtu </w:t>
      </w:r>
      <w:r w:rsidR="006739A5" w:rsidRPr="004E2B72">
        <w:rPr>
          <w:rFonts w:cs="Arial"/>
        </w:rPr>
        <w:t xml:space="preserve">TCO ICT služeb </w:t>
      </w:r>
      <w:r w:rsidR="005C415B" w:rsidRPr="004E2B72">
        <w:rPr>
          <w:rFonts w:cs="Arial"/>
        </w:rPr>
        <w:t>veřejné správy</w:t>
      </w:r>
    </w:p>
    <w:p w14:paraId="7C83E544" w14:textId="048773D3" w:rsidR="006739A5" w:rsidRPr="004E2B72" w:rsidRDefault="00254816" w:rsidP="006739A5">
      <w:pPr>
        <w:jc w:val="center"/>
        <w:rPr>
          <w:rFonts w:cs="Arial"/>
        </w:rPr>
      </w:pPr>
      <w:r w:rsidRPr="004E2B72">
        <w:rPr>
          <w:rFonts w:cs="Arial"/>
        </w:rPr>
        <w:t>Ministerstvo vnitra</w:t>
      </w:r>
      <w:r w:rsidR="0079612F">
        <w:rPr>
          <w:rFonts w:cs="Arial"/>
        </w:rPr>
        <w:t xml:space="preserve"> /Digitální a informační agentura</w:t>
      </w:r>
      <w:bookmarkStart w:id="0" w:name="_GoBack"/>
      <w:bookmarkEnd w:id="0"/>
    </w:p>
    <w:p w14:paraId="5B64F1FA" w14:textId="7EC423EC" w:rsidR="00760979" w:rsidRPr="00760979" w:rsidRDefault="006739A5" w:rsidP="00760979">
      <w:pPr>
        <w:jc w:val="center"/>
        <w:rPr>
          <w:rFonts w:cs="Arial"/>
        </w:rPr>
      </w:pPr>
      <w:r w:rsidRPr="004E2B72">
        <w:rPr>
          <w:rFonts w:cs="Arial"/>
        </w:rPr>
        <w:t xml:space="preserve">verze </w:t>
      </w:r>
      <w:r w:rsidR="006D6C8F" w:rsidRPr="004E2B72">
        <w:rPr>
          <w:rFonts w:cs="Arial"/>
        </w:rPr>
        <w:t>3</w:t>
      </w:r>
      <w:r w:rsidR="00CC07E1" w:rsidRPr="004E2B72">
        <w:rPr>
          <w:rFonts w:cs="Arial"/>
        </w:rPr>
        <w:t>.</w:t>
      </w:r>
      <w:r w:rsidR="00032C04">
        <w:rPr>
          <w:rFonts w:cs="Arial"/>
        </w:rPr>
        <w:t>10</w:t>
      </w:r>
      <w:r w:rsidRPr="004E2B72">
        <w:rPr>
          <w:rFonts w:cs="Arial"/>
        </w:rPr>
        <w:t xml:space="preserve"> z</w:t>
      </w:r>
      <w:r w:rsidR="00032C04">
        <w:rPr>
          <w:rFonts w:cs="Arial"/>
        </w:rPr>
        <w:t> 3</w:t>
      </w:r>
      <w:r w:rsidR="00760979">
        <w:rPr>
          <w:rFonts w:cs="Arial"/>
        </w:rPr>
        <w:t>0</w:t>
      </w:r>
      <w:r w:rsidR="000B2827" w:rsidRPr="004E2B72">
        <w:rPr>
          <w:rFonts w:cs="Arial"/>
        </w:rPr>
        <w:t>. 1</w:t>
      </w:r>
      <w:r w:rsidR="00760979">
        <w:rPr>
          <w:rFonts w:cs="Arial"/>
        </w:rPr>
        <w:t>1</w:t>
      </w:r>
      <w:r w:rsidR="000B2827" w:rsidRPr="004E2B72">
        <w:rPr>
          <w:rFonts w:cs="Arial"/>
        </w:rPr>
        <w:t>.</w:t>
      </w:r>
      <w:r w:rsidR="00CD519E" w:rsidRPr="004E2B72">
        <w:rPr>
          <w:rFonts w:cs="Arial"/>
        </w:rPr>
        <w:t xml:space="preserve"> </w:t>
      </w:r>
      <w:r w:rsidR="00254816" w:rsidRPr="004E2B72">
        <w:rPr>
          <w:rFonts w:cs="Arial"/>
        </w:rPr>
        <w:t>20</w:t>
      </w:r>
      <w:r w:rsidR="000B2827" w:rsidRPr="004E2B72">
        <w:rPr>
          <w:rFonts w:cs="Arial"/>
        </w:rPr>
        <w:t>22</w:t>
      </w:r>
    </w:p>
    <w:sdt>
      <w:sdtPr>
        <w:rPr>
          <w:rFonts w:ascii="Arial" w:eastAsia="Times New Roman" w:hAnsi="Arial" w:cs="Times New Roman"/>
          <w:color w:val="auto"/>
          <w:sz w:val="20"/>
          <w:szCs w:val="20"/>
        </w:rPr>
        <w:id w:val="409508256"/>
        <w:docPartObj>
          <w:docPartGallery w:val="Table of Contents"/>
          <w:docPartUnique/>
        </w:docPartObj>
      </w:sdtPr>
      <w:sdtEndPr>
        <w:rPr>
          <w:b/>
          <w:bCs/>
        </w:rPr>
      </w:sdtEndPr>
      <w:sdtContent>
        <w:p w14:paraId="3434C4A8" w14:textId="490CD42B" w:rsidR="00760979" w:rsidRDefault="00760979">
          <w:pPr>
            <w:pStyle w:val="Nadpisobsahu"/>
          </w:pPr>
          <w:r>
            <w:t>Obsah</w:t>
          </w:r>
        </w:p>
        <w:p w14:paraId="03DD8378" w14:textId="37402013" w:rsidR="000505F6" w:rsidRDefault="00760979">
          <w:pPr>
            <w:pStyle w:val="Obsah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20784659" w:history="1">
            <w:r w:rsidR="000505F6" w:rsidRPr="00630166">
              <w:rPr>
                <w:rStyle w:val="Hypertextovodkaz"/>
                <w:rFonts w:cs="Arial"/>
                <w:noProof/>
              </w:rPr>
              <w:t>1.</w:t>
            </w:r>
            <w:r w:rsidR="000505F6">
              <w:rPr>
                <w:rFonts w:asciiTheme="minorHAnsi" w:eastAsiaTheme="minorEastAsia" w:hAnsiTheme="minorHAnsi" w:cstheme="minorBidi"/>
                <w:b w:val="0"/>
                <w:noProof/>
                <w:sz w:val="22"/>
                <w:szCs w:val="22"/>
              </w:rPr>
              <w:tab/>
            </w:r>
            <w:r w:rsidR="000505F6" w:rsidRPr="00630166">
              <w:rPr>
                <w:rStyle w:val="Hypertextovodkaz"/>
                <w:rFonts w:cs="Arial"/>
                <w:noProof/>
              </w:rPr>
              <w:t>Cíle metodiky</w:t>
            </w:r>
            <w:r w:rsidR="000505F6">
              <w:rPr>
                <w:noProof/>
                <w:webHidden/>
              </w:rPr>
              <w:tab/>
            </w:r>
            <w:r w:rsidR="000505F6">
              <w:rPr>
                <w:noProof/>
                <w:webHidden/>
              </w:rPr>
              <w:fldChar w:fldCharType="begin"/>
            </w:r>
            <w:r w:rsidR="000505F6">
              <w:rPr>
                <w:noProof/>
                <w:webHidden/>
              </w:rPr>
              <w:instrText xml:space="preserve"> PAGEREF _Toc120784659 \h </w:instrText>
            </w:r>
            <w:r w:rsidR="000505F6">
              <w:rPr>
                <w:noProof/>
                <w:webHidden/>
              </w:rPr>
            </w:r>
            <w:r w:rsidR="000505F6">
              <w:rPr>
                <w:noProof/>
                <w:webHidden/>
              </w:rPr>
              <w:fldChar w:fldCharType="separate"/>
            </w:r>
            <w:r w:rsidR="000505F6">
              <w:rPr>
                <w:noProof/>
                <w:webHidden/>
              </w:rPr>
              <w:t>2</w:t>
            </w:r>
            <w:r w:rsidR="000505F6">
              <w:rPr>
                <w:noProof/>
                <w:webHidden/>
              </w:rPr>
              <w:fldChar w:fldCharType="end"/>
            </w:r>
          </w:hyperlink>
        </w:p>
        <w:p w14:paraId="64094C10" w14:textId="0EB8B94E" w:rsidR="000505F6" w:rsidRDefault="00DE73D7">
          <w:pPr>
            <w:pStyle w:val="Obsah1"/>
            <w:rPr>
              <w:rFonts w:asciiTheme="minorHAnsi" w:eastAsiaTheme="minorEastAsia" w:hAnsiTheme="minorHAnsi" w:cstheme="minorBidi"/>
              <w:b w:val="0"/>
              <w:noProof/>
              <w:sz w:val="22"/>
              <w:szCs w:val="22"/>
            </w:rPr>
          </w:pPr>
          <w:hyperlink w:anchor="_Toc120784660" w:history="1">
            <w:r w:rsidR="000505F6" w:rsidRPr="00630166">
              <w:rPr>
                <w:rStyle w:val="Hypertextovodkaz"/>
                <w:rFonts w:cs="Arial"/>
                <w:noProof/>
              </w:rPr>
              <w:t>2.</w:t>
            </w:r>
            <w:r w:rsidR="000505F6">
              <w:rPr>
                <w:rFonts w:asciiTheme="minorHAnsi" w:eastAsiaTheme="minorEastAsia" w:hAnsiTheme="minorHAnsi" w:cstheme="minorBidi"/>
                <w:b w:val="0"/>
                <w:noProof/>
                <w:sz w:val="22"/>
                <w:szCs w:val="22"/>
              </w:rPr>
              <w:tab/>
            </w:r>
            <w:r w:rsidR="000505F6" w:rsidRPr="00630166">
              <w:rPr>
                <w:rStyle w:val="Hypertextovodkaz"/>
                <w:rFonts w:cs="Arial"/>
                <w:noProof/>
              </w:rPr>
              <w:t>Základní východiska a pravidla metodiky</w:t>
            </w:r>
            <w:r w:rsidR="000505F6">
              <w:rPr>
                <w:noProof/>
                <w:webHidden/>
              </w:rPr>
              <w:tab/>
            </w:r>
            <w:r w:rsidR="000505F6">
              <w:rPr>
                <w:noProof/>
                <w:webHidden/>
              </w:rPr>
              <w:fldChar w:fldCharType="begin"/>
            </w:r>
            <w:r w:rsidR="000505F6">
              <w:rPr>
                <w:noProof/>
                <w:webHidden/>
              </w:rPr>
              <w:instrText xml:space="preserve"> PAGEREF _Toc120784660 \h </w:instrText>
            </w:r>
            <w:r w:rsidR="000505F6">
              <w:rPr>
                <w:noProof/>
                <w:webHidden/>
              </w:rPr>
            </w:r>
            <w:r w:rsidR="000505F6">
              <w:rPr>
                <w:noProof/>
                <w:webHidden/>
              </w:rPr>
              <w:fldChar w:fldCharType="separate"/>
            </w:r>
            <w:r w:rsidR="000505F6">
              <w:rPr>
                <w:noProof/>
                <w:webHidden/>
              </w:rPr>
              <w:t>2</w:t>
            </w:r>
            <w:r w:rsidR="000505F6">
              <w:rPr>
                <w:noProof/>
                <w:webHidden/>
              </w:rPr>
              <w:fldChar w:fldCharType="end"/>
            </w:r>
          </w:hyperlink>
        </w:p>
        <w:p w14:paraId="53B7E7DD" w14:textId="49DFDCED" w:rsidR="000505F6" w:rsidRDefault="00DE73D7">
          <w:pPr>
            <w:pStyle w:val="Obsah2"/>
            <w:rPr>
              <w:rFonts w:asciiTheme="minorHAnsi" w:eastAsiaTheme="minorEastAsia" w:hAnsiTheme="minorHAnsi" w:cstheme="minorBidi"/>
              <w:noProof/>
              <w:sz w:val="22"/>
              <w:szCs w:val="22"/>
            </w:rPr>
          </w:pPr>
          <w:hyperlink w:anchor="_Toc120784661" w:history="1">
            <w:r w:rsidR="000505F6" w:rsidRPr="00630166">
              <w:rPr>
                <w:rStyle w:val="Hypertextovodkaz"/>
                <w:rFonts w:cs="Arial"/>
                <w:noProof/>
              </w:rPr>
              <w:t>2.1</w:t>
            </w:r>
            <w:r w:rsidR="000505F6">
              <w:rPr>
                <w:rFonts w:asciiTheme="minorHAnsi" w:eastAsiaTheme="minorEastAsia" w:hAnsiTheme="minorHAnsi" w:cstheme="minorBidi"/>
                <w:noProof/>
                <w:sz w:val="22"/>
                <w:szCs w:val="22"/>
              </w:rPr>
              <w:tab/>
            </w:r>
            <w:r w:rsidR="000505F6" w:rsidRPr="00630166">
              <w:rPr>
                <w:rStyle w:val="Hypertextovodkaz"/>
                <w:rFonts w:cs="Arial"/>
                <w:noProof/>
              </w:rPr>
              <w:t>TCO jako součást systému řízení výkonnosti a zodpovědnosti</w:t>
            </w:r>
            <w:r w:rsidR="000505F6">
              <w:rPr>
                <w:noProof/>
                <w:webHidden/>
              </w:rPr>
              <w:tab/>
            </w:r>
            <w:r w:rsidR="000505F6">
              <w:rPr>
                <w:noProof/>
                <w:webHidden/>
              </w:rPr>
              <w:fldChar w:fldCharType="begin"/>
            </w:r>
            <w:r w:rsidR="000505F6">
              <w:rPr>
                <w:noProof/>
                <w:webHidden/>
              </w:rPr>
              <w:instrText xml:space="preserve"> PAGEREF _Toc120784661 \h </w:instrText>
            </w:r>
            <w:r w:rsidR="000505F6">
              <w:rPr>
                <w:noProof/>
                <w:webHidden/>
              </w:rPr>
            </w:r>
            <w:r w:rsidR="000505F6">
              <w:rPr>
                <w:noProof/>
                <w:webHidden/>
              </w:rPr>
              <w:fldChar w:fldCharType="separate"/>
            </w:r>
            <w:r w:rsidR="000505F6">
              <w:rPr>
                <w:noProof/>
                <w:webHidden/>
              </w:rPr>
              <w:t>2</w:t>
            </w:r>
            <w:r w:rsidR="000505F6">
              <w:rPr>
                <w:noProof/>
                <w:webHidden/>
              </w:rPr>
              <w:fldChar w:fldCharType="end"/>
            </w:r>
          </w:hyperlink>
        </w:p>
        <w:p w14:paraId="5146F242" w14:textId="1896DAEA" w:rsidR="000505F6" w:rsidRDefault="00DE73D7">
          <w:pPr>
            <w:pStyle w:val="Obsah2"/>
            <w:rPr>
              <w:rFonts w:asciiTheme="minorHAnsi" w:eastAsiaTheme="minorEastAsia" w:hAnsiTheme="minorHAnsi" w:cstheme="minorBidi"/>
              <w:noProof/>
              <w:sz w:val="22"/>
              <w:szCs w:val="22"/>
            </w:rPr>
          </w:pPr>
          <w:hyperlink w:anchor="_Toc120784662" w:history="1">
            <w:r w:rsidR="000505F6" w:rsidRPr="00630166">
              <w:rPr>
                <w:rStyle w:val="Hypertextovodkaz"/>
                <w:rFonts w:cs="Arial"/>
                <w:noProof/>
              </w:rPr>
              <w:t>2.2</w:t>
            </w:r>
            <w:r w:rsidR="000505F6">
              <w:rPr>
                <w:rFonts w:asciiTheme="minorHAnsi" w:eastAsiaTheme="minorEastAsia" w:hAnsiTheme="minorHAnsi" w:cstheme="minorBidi"/>
                <w:noProof/>
                <w:sz w:val="22"/>
                <w:szCs w:val="22"/>
              </w:rPr>
              <w:tab/>
            </w:r>
            <w:r w:rsidR="000505F6" w:rsidRPr="00630166">
              <w:rPr>
                <w:rStyle w:val="Hypertextovodkaz"/>
                <w:rFonts w:cs="Arial"/>
                <w:noProof/>
              </w:rPr>
              <w:t>Východiska a principy metodiky ukazatele TCO ISVS</w:t>
            </w:r>
            <w:r w:rsidR="000505F6">
              <w:rPr>
                <w:noProof/>
                <w:webHidden/>
              </w:rPr>
              <w:tab/>
            </w:r>
            <w:r w:rsidR="000505F6">
              <w:rPr>
                <w:noProof/>
                <w:webHidden/>
              </w:rPr>
              <w:fldChar w:fldCharType="begin"/>
            </w:r>
            <w:r w:rsidR="000505F6">
              <w:rPr>
                <w:noProof/>
                <w:webHidden/>
              </w:rPr>
              <w:instrText xml:space="preserve"> PAGEREF _Toc120784662 \h </w:instrText>
            </w:r>
            <w:r w:rsidR="000505F6">
              <w:rPr>
                <w:noProof/>
                <w:webHidden/>
              </w:rPr>
            </w:r>
            <w:r w:rsidR="000505F6">
              <w:rPr>
                <w:noProof/>
                <w:webHidden/>
              </w:rPr>
              <w:fldChar w:fldCharType="separate"/>
            </w:r>
            <w:r w:rsidR="000505F6">
              <w:rPr>
                <w:noProof/>
                <w:webHidden/>
              </w:rPr>
              <w:t>4</w:t>
            </w:r>
            <w:r w:rsidR="000505F6">
              <w:rPr>
                <w:noProof/>
                <w:webHidden/>
              </w:rPr>
              <w:fldChar w:fldCharType="end"/>
            </w:r>
          </w:hyperlink>
        </w:p>
        <w:p w14:paraId="29C8BA2D" w14:textId="05E549BE" w:rsidR="000505F6" w:rsidRDefault="00DE73D7">
          <w:pPr>
            <w:pStyle w:val="Obsah3"/>
            <w:rPr>
              <w:rFonts w:asciiTheme="minorHAnsi" w:eastAsiaTheme="minorEastAsia" w:hAnsiTheme="minorHAnsi" w:cstheme="minorBidi"/>
              <w:noProof/>
              <w:sz w:val="22"/>
              <w:szCs w:val="22"/>
            </w:rPr>
          </w:pPr>
          <w:hyperlink w:anchor="_Toc120784663" w:history="1">
            <w:r w:rsidR="000505F6" w:rsidRPr="00630166">
              <w:rPr>
                <w:rStyle w:val="Hypertextovodkaz"/>
                <w:noProof/>
              </w:rPr>
              <w:t>2.2.1</w:t>
            </w:r>
            <w:r w:rsidR="000505F6">
              <w:rPr>
                <w:rFonts w:asciiTheme="minorHAnsi" w:eastAsiaTheme="minorEastAsia" w:hAnsiTheme="minorHAnsi" w:cstheme="minorBidi"/>
                <w:noProof/>
                <w:sz w:val="22"/>
                <w:szCs w:val="22"/>
              </w:rPr>
              <w:tab/>
            </w:r>
            <w:r w:rsidR="000505F6" w:rsidRPr="00630166">
              <w:rPr>
                <w:rStyle w:val="Hypertextovodkaz"/>
                <w:noProof/>
              </w:rPr>
              <w:t>Ukazatel TCO obecně</w:t>
            </w:r>
            <w:r w:rsidR="000505F6">
              <w:rPr>
                <w:noProof/>
                <w:webHidden/>
              </w:rPr>
              <w:tab/>
            </w:r>
            <w:r w:rsidR="000505F6">
              <w:rPr>
                <w:noProof/>
                <w:webHidden/>
              </w:rPr>
              <w:fldChar w:fldCharType="begin"/>
            </w:r>
            <w:r w:rsidR="000505F6">
              <w:rPr>
                <w:noProof/>
                <w:webHidden/>
              </w:rPr>
              <w:instrText xml:space="preserve"> PAGEREF _Toc120784663 \h </w:instrText>
            </w:r>
            <w:r w:rsidR="000505F6">
              <w:rPr>
                <w:noProof/>
                <w:webHidden/>
              </w:rPr>
            </w:r>
            <w:r w:rsidR="000505F6">
              <w:rPr>
                <w:noProof/>
                <w:webHidden/>
              </w:rPr>
              <w:fldChar w:fldCharType="separate"/>
            </w:r>
            <w:r w:rsidR="000505F6">
              <w:rPr>
                <w:noProof/>
                <w:webHidden/>
              </w:rPr>
              <w:t>4</w:t>
            </w:r>
            <w:r w:rsidR="000505F6">
              <w:rPr>
                <w:noProof/>
                <w:webHidden/>
              </w:rPr>
              <w:fldChar w:fldCharType="end"/>
            </w:r>
          </w:hyperlink>
        </w:p>
        <w:p w14:paraId="149B0EEA" w14:textId="2458F0CA" w:rsidR="000505F6" w:rsidRDefault="00DE73D7">
          <w:pPr>
            <w:pStyle w:val="Obsah3"/>
            <w:rPr>
              <w:rFonts w:asciiTheme="minorHAnsi" w:eastAsiaTheme="minorEastAsia" w:hAnsiTheme="minorHAnsi" w:cstheme="minorBidi"/>
              <w:noProof/>
              <w:sz w:val="22"/>
              <w:szCs w:val="22"/>
            </w:rPr>
          </w:pPr>
          <w:hyperlink w:anchor="_Toc120784664" w:history="1">
            <w:r w:rsidR="000505F6" w:rsidRPr="00630166">
              <w:rPr>
                <w:rStyle w:val="Hypertextovodkaz"/>
                <w:noProof/>
              </w:rPr>
              <w:t>2.2.2</w:t>
            </w:r>
            <w:r w:rsidR="000505F6">
              <w:rPr>
                <w:rFonts w:asciiTheme="minorHAnsi" w:eastAsiaTheme="minorEastAsia" w:hAnsiTheme="minorHAnsi" w:cstheme="minorBidi"/>
                <w:noProof/>
                <w:sz w:val="22"/>
                <w:szCs w:val="22"/>
              </w:rPr>
              <w:tab/>
            </w:r>
            <w:r w:rsidR="000505F6" w:rsidRPr="00630166">
              <w:rPr>
                <w:rStyle w:val="Hypertextovodkaz"/>
                <w:noProof/>
              </w:rPr>
              <w:t>Zjednodušené / plnohodnotné TCO</w:t>
            </w:r>
            <w:r w:rsidR="000505F6">
              <w:rPr>
                <w:noProof/>
                <w:webHidden/>
              </w:rPr>
              <w:tab/>
            </w:r>
            <w:r w:rsidR="000505F6">
              <w:rPr>
                <w:noProof/>
                <w:webHidden/>
              </w:rPr>
              <w:fldChar w:fldCharType="begin"/>
            </w:r>
            <w:r w:rsidR="000505F6">
              <w:rPr>
                <w:noProof/>
                <w:webHidden/>
              </w:rPr>
              <w:instrText xml:space="preserve"> PAGEREF _Toc120784664 \h </w:instrText>
            </w:r>
            <w:r w:rsidR="000505F6">
              <w:rPr>
                <w:noProof/>
                <w:webHidden/>
              </w:rPr>
            </w:r>
            <w:r w:rsidR="000505F6">
              <w:rPr>
                <w:noProof/>
                <w:webHidden/>
              </w:rPr>
              <w:fldChar w:fldCharType="separate"/>
            </w:r>
            <w:r w:rsidR="000505F6">
              <w:rPr>
                <w:noProof/>
                <w:webHidden/>
              </w:rPr>
              <w:t>5</w:t>
            </w:r>
            <w:r w:rsidR="000505F6">
              <w:rPr>
                <w:noProof/>
                <w:webHidden/>
              </w:rPr>
              <w:fldChar w:fldCharType="end"/>
            </w:r>
          </w:hyperlink>
        </w:p>
        <w:p w14:paraId="1B97F430" w14:textId="44F1AF53" w:rsidR="000505F6" w:rsidRDefault="00DE73D7">
          <w:pPr>
            <w:pStyle w:val="Obsah2"/>
            <w:rPr>
              <w:rFonts w:asciiTheme="minorHAnsi" w:eastAsiaTheme="minorEastAsia" w:hAnsiTheme="minorHAnsi" w:cstheme="minorBidi"/>
              <w:noProof/>
              <w:sz w:val="22"/>
              <w:szCs w:val="22"/>
            </w:rPr>
          </w:pPr>
          <w:hyperlink w:anchor="_Toc120784665" w:history="1">
            <w:r w:rsidR="000505F6" w:rsidRPr="00630166">
              <w:rPr>
                <w:rStyle w:val="Hypertextovodkaz"/>
                <w:rFonts w:cs="Arial"/>
                <w:noProof/>
              </w:rPr>
              <w:t>2.3</w:t>
            </w:r>
            <w:r w:rsidR="000505F6">
              <w:rPr>
                <w:rFonts w:asciiTheme="minorHAnsi" w:eastAsiaTheme="minorEastAsia" w:hAnsiTheme="minorHAnsi" w:cstheme="minorBidi"/>
                <w:noProof/>
                <w:sz w:val="22"/>
                <w:szCs w:val="22"/>
              </w:rPr>
              <w:tab/>
            </w:r>
            <w:r w:rsidR="000505F6" w:rsidRPr="00630166">
              <w:rPr>
                <w:rStyle w:val="Hypertextovodkaz"/>
                <w:rFonts w:cs="Arial"/>
                <w:noProof/>
              </w:rPr>
              <w:t>Struktura nákladů</w:t>
            </w:r>
            <w:r w:rsidR="000505F6">
              <w:rPr>
                <w:noProof/>
                <w:webHidden/>
              </w:rPr>
              <w:tab/>
            </w:r>
            <w:r w:rsidR="000505F6">
              <w:rPr>
                <w:noProof/>
                <w:webHidden/>
              </w:rPr>
              <w:fldChar w:fldCharType="begin"/>
            </w:r>
            <w:r w:rsidR="000505F6">
              <w:rPr>
                <w:noProof/>
                <w:webHidden/>
              </w:rPr>
              <w:instrText xml:space="preserve"> PAGEREF _Toc120784665 \h </w:instrText>
            </w:r>
            <w:r w:rsidR="000505F6">
              <w:rPr>
                <w:noProof/>
                <w:webHidden/>
              </w:rPr>
            </w:r>
            <w:r w:rsidR="000505F6">
              <w:rPr>
                <w:noProof/>
                <w:webHidden/>
              </w:rPr>
              <w:fldChar w:fldCharType="separate"/>
            </w:r>
            <w:r w:rsidR="000505F6">
              <w:rPr>
                <w:noProof/>
                <w:webHidden/>
              </w:rPr>
              <w:t>6</w:t>
            </w:r>
            <w:r w:rsidR="000505F6">
              <w:rPr>
                <w:noProof/>
                <w:webHidden/>
              </w:rPr>
              <w:fldChar w:fldCharType="end"/>
            </w:r>
          </w:hyperlink>
        </w:p>
        <w:p w14:paraId="2F7F8C5C" w14:textId="5D22F34D" w:rsidR="000505F6" w:rsidRDefault="00DE73D7">
          <w:pPr>
            <w:pStyle w:val="Obsah3"/>
            <w:rPr>
              <w:rFonts w:asciiTheme="minorHAnsi" w:eastAsiaTheme="minorEastAsia" w:hAnsiTheme="minorHAnsi" w:cstheme="minorBidi"/>
              <w:noProof/>
              <w:sz w:val="22"/>
              <w:szCs w:val="22"/>
            </w:rPr>
          </w:pPr>
          <w:hyperlink w:anchor="_Toc120784666" w:history="1">
            <w:r w:rsidR="000505F6" w:rsidRPr="00630166">
              <w:rPr>
                <w:rStyle w:val="Hypertextovodkaz"/>
                <w:rFonts w:cs="Arial"/>
                <w:noProof/>
              </w:rPr>
              <w:t>2.3.1</w:t>
            </w:r>
            <w:r w:rsidR="000505F6">
              <w:rPr>
                <w:rFonts w:asciiTheme="minorHAnsi" w:eastAsiaTheme="minorEastAsia" w:hAnsiTheme="minorHAnsi" w:cstheme="minorBidi"/>
                <w:noProof/>
                <w:sz w:val="22"/>
                <w:szCs w:val="22"/>
              </w:rPr>
              <w:tab/>
            </w:r>
            <w:r w:rsidR="000505F6" w:rsidRPr="00630166">
              <w:rPr>
                <w:rStyle w:val="Hypertextovodkaz"/>
                <w:rFonts w:cs="Arial"/>
                <w:noProof/>
              </w:rPr>
              <w:t>Model TCO – účelové členění ICT nákladů VS</w:t>
            </w:r>
            <w:r w:rsidR="000505F6">
              <w:rPr>
                <w:noProof/>
                <w:webHidden/>
              </w:rPr>
              <w:tab/>
            </w:r>
            <w:r w:rsidR="000505F6">
              <w:rPr>
                <w:noProof/>
                <w:webHidden/>
              </w:rPr>
              <w:fldChar w:fldCharType="begin"/>
            </w:r>
            <w:r w:rsidR="000505F6">
              <w:rPr>
                <w:noProof/>
                <w:webHidden/>
              </w:rPr>
              <w:instrText xml:space="preserve"> PAGEREF _Toc120784666 \h </w:instrText>
            </w:r>
            <w:r w:rsidR="000505F6">
              <w:rPr>
                <w:noProof/>
                <w:webHidden/>
              </w:rPr>
            </w:r>
            <w:r w:rsidR="000505F6">
              <w:rPr>
                <w:noProof/>
                <w:webHidden/>
              </w:rPr>
              <w:fldChar w:fldCharType="separate"/>
            </w:r>
            <w:r w:rsidR="000505F6">
              <w:rPr>
                <w:noProof/>
                <w:webHidden/>
              </w:rPr>
              <w:t>7</w:t>
            </w:r>
            <w:r w:rsidR="000505F6">
              <w:rPr>
                <w:noProof/>
                <w:webHidden/>
              </w:rPr>
              <w:fldChar w:fldCharType="end"/>
            </w:r>
          </w:hyperlink>
        </w:p>
        <w:p w14:paraId="4B3884BB" w14:textId="7427BCC7" w:rsidR="000505F6" w:rsidRDefault="00DE73D7">
          <w:pPr>
            <w:pStyle w:val="Obsah2"/>
            <w:rPr>
              <w:rFonts w:asciiTheme="minorHAnsi" w:eastAsiaTheme="minorEastAsia" w:hAnsiTheme="minorHAnsi" w:cstheme="minorBidi"/>
              <w:noProof/>
              <w:sz w:val="22"/>
              <w:szCs w:val="22"/>
            </w:rPr>
          </w:pPr>
          <w:hyperlink w:anchor="_Toc120784667" w:history="1">
            <w:r w:rsidR="000505F6" w:rsidRPr="00630166">
              <w:rPr>
                <w:rStyle w:val="Hypertextovodkaz"/>
                <w:noProof/>
              </w:rPr>
              <w:t>2.4</w:t>
            </w:r>
            <w:r w:rsidR="000505F6">
              <w:rPr>
                <w:rFonts w:asciiTheme="minorHAnsi" w:eastAsiaTheme="minorEastAsia" w:hAnsiTheme="minorHAnsi" w:cstheme="minorBidi"/>
                <w:noProof/>
                <w:sz w:val="22"/>
                <w:szCs w:val="22"/>
              </w:rPr>
              <w:tab/>
            </w:r>
            <w:r w:rsidR="000505F6" w:rsidRPr="00630166">
              <w:rPr>
                <w:rStyle w:val="Hypertextovodkaz"/>
                <w:noProof/>
              </w:rPr>
              <w:t>Postup kalkulace, alokace a vyhodnocení nákladů</w:t>
            </w:r>
            <w:r w:rsidR="000505F6">
              <w:rPr>
                <w:noProof/>
                <w:webHidden/>
              </w:rPr>
              <w:tab/>
            </w:r>
            <w:r w:rsidR="000505F6">
              <w:rPr>
                <w:noProof/>
                <w:webHidden/>
              </w:rPr>
              <w:fldChar w:fldCharType="begin"/>
            </w:r>
            <w:r w:rsidR="000505F6">
              <w:rPr>
                <w:noProof/>
                <w:webHidden/>
              </w:rPr>
              <w:instrText xml:space="preserve"> PAGEREF _Toc120784667 \h </w:instrText>
            </w:r>
            <w:r w:rsidR="000505F6">
              <w:rPr>
                <w:noProof/>
                <w:webHidden/>
              </w:rPr>
            </w:r>
            <w:r w:rsidR="000505F6">
              <w:rPr>
                <w:noProof/>
                <w:webHidden/>
              </w:rPr>
              <w:fldChar w:fldCharType="separate"/>
            </w:r>
            <w:r w:rsidR="000505F6">
              <w:rPr>
                <w:noProof/>
                <w:webHidden/>
              </w:rPr>
              <w:t>9</w:t>
            </w:r>
            <w:r w:rsidR="000505F6">
              <w:rPr>
                <w:noProof/>
                <w:webHidden/>
              </w:rPr>
              <w:fldChar w:fldCharType="end"/>
            </w:r>
          </w:hyperlink>
        </w:p>
        <w:p w14:paraId="5248D592" w14:textId="6017E58F" w:rsidR="000505F6" w:rsidRDefault="00DE73D7">
          <w:pPr>
            <w:pStyle w:val="Obsah3"/>
            <w:rPr>
              <w:rFonts w:asciiTheme="minorHAnsi" w:eastAsiaTheme="minorEastAsia" w:hAnsiTheme="minorHAnsi" w:cstheme="minorBidi"/>
              <w:noProof/>
              <w:sz w:val="22"/>
              <w:szCs w:val="22"/>
            </w:rPr>
          </w:pPr>
          <w:hyperlink w:anchor="_Toc120784668" w:history="1">
            <w:r w:rsidR="000505F6" w:rsidRPr="00630166">
              <w:rPr>
                <w:rStyle w:val="Hypertextovodkaz"/>
                <w:noProof/>
              </w:rPr>
              <w:t>2.4.1</w:t>
            </w:r>
            <w:r w:rsidR="000505F6">
              <w:rPr>
                <w:rFonts w:asciiTheme="minorHAnsi" w:eastAsiaTheme="minorEastAsia" w:hAnsiTheme="minorHAnsi" w:cstheme="minorBidi"/>
                <w:noProof/>
                <w:sz w:val="22"/>
                <w:szCs w:val="22"/>
              </w:rPr>
              <w:tab/>
            </w:r>
            <w:r w:rsidR="000505F6" w:rsidRPr="00630166">
              <w:rPr>
                <w:rStyle w:val="Hypertextovodkaz"/>
                <w:noProof/>
              </w:rPr>
              <w:t>Výpočet nebo odhad personálních nákladů</w:t>
            </w:r>
            <w:r w:rsidR="000505F6">
              <w:rPr>
                <w:noProof/>
                <w:webHidden/>
              </w:rPr>
              <w:tab/>
            </w:r>
            <w:r w:rsidR="000505F6">
              <w:rPr>
                <w:noProof/>
                <w:webHidden/>
              </w:rPr>
              <w:fldChar w:fldCharType="begin"/>
            </w:r>
            <w:r w:rsidR="000505F6">
              <w:rPr>
                <w:noProof/>
                <w:webHidden/>
              </w:rPr>
              <w:instrText xml:space="preserve"> PAGEREF _Toc120784668 \h </w:instrText>
            </w:r>
            <w:r w:rsidR="000505F6">
              <w:rPr>
                <w:noProof/>
                <w:webHidden/>
              </w:rPr>
            </w:r>
            <w:r w:rsidR="000505F6">
              <w:rPr>
                <w:noProof/>
                <w:webHidden/>
              </w:rPr>
              <w:fldChar w:fldCharType="separate"/>
            </w:r>
            <w:r w:rsidR="000505F6">
              <w:rPr>
                <w:noProof/>
                <w:webHidden/>
              </w:rPr>
              <w:t>10</w:t>
            </w:r>
            <w:r w:rsidR="000505F6">
              <w:rPr>
                <w:noProof/>
                <w:webHidden/>
              </w:rPr>
              <w:fldChar w:fldCharType="end"/>
            </w:r>
          </w:hyperlink>
        </w:p>
        <w:p w14:paraId="4F36217F" w14:textId="3CBA7466" w:rsidR="000505F6" w:rsidRDefault="00DE73D7">
          <w:pPr>
            <w:pStyle w:val="Obsah3"/>
            <w:rPr>
              <w:rFonts w:asciiTheme="minorHAnsi" w:eastAsiaTheme="minorEastAsia" w:hAnsiTheme="minorHAnsi" w:cstheme="minorBidi"/>
              <w:noProof/>
              <w:sz w:val="22"/>
              <w:szCs w:val="22"/>
            </w:rPr>
          </w:pPr>
          <w:hyperlink w:anchor="_Toc120784669" w:history="1">
            <w:r w:rsidR="000505F6" w:rsidRPr="00630166">
              <w:rPr>
                <w:rStyle w:val="Hypertextovodkaz"/>
                <w:noProof/>
              </w:rPr>
              <w:t>2.4.2</w:t>
            </w:r>
            <w:r w:rsidR="000505F6">
              <w:rPr>
                <w:rFonts w:asciiTheme="minorHAnsi" w:eastAsiaTheme="minorEastAsia" w:hAnsiTheme="minorHAnsi" w:cstheme="minorBidi"/>
                <w:noProof/>
                <w:sz w:val="22"/>
                <w:szCs w:val="22"/>
              </w:rPr>
              <w:tab/>
            </w:r>
            <w:r w:rsidR="000505F6" w:rsidRPr="00630166">
              <w:rPr>
                <w:rStyle w:val="Hypertextovodkaz"/>
                <w:noProof/>
              </w:rPr>
              <w:t>Rozpočítání nákladů zdrojů sdílených více ICT službami</w:t>
            </w:r>
            <w:r w:rsidR="000505F6">
              <w:rPr>
                <w:noProof/>
                <w:webHidden/>
              </w:rPr>
              <w:tab/>
            </w:r>
            <w:r w:rsidR="000505F6">
              <w:rPr>
                <w:noProof/>
                <w:webHidden/>
              </w:rPr>
              <w:fldChar w:fldCharType="begin"/>
            </w:r>
            <w:r w:rsidR="000505F6">
              <w:rPr>
                <w:noProof/>
                <w:webHidden/>
              </w:rPr>
              <w:instrText xml:space="preserve"> PAGEREF _Toc120784669 \h </w:instrText>
            </w:r>
            <w:r w:rsidR="000505F6">
              <w:rPr>
                <w:noProof/>
                <w:webHidden/>
              </w:rPr>
            </w:r>
            <w:r w:rsidR="000505F6">
              <w:rPr>
                <w:noProof/>
                <w:webHidden/>
              </w:rPr>
              <w:fldChar w:fldCharType="separate"/>
            </w:r>
            <w:r w:rsidR="000505F6">
              <w:rPr>
                <w:noProof/>
                <w:webHidden/>
              </w:rPr>
              <w:t>10</w:t>
            </w:r>
            <w:r w:rsidR="000505F6">
              <w:rPr>
                <w:noProof/>
                <w:webHidden/>
              </w:rPr>
              <w:fldChar w:fldCharType="end"/>
            </w:r>
          </w:hyperlink>
        </w:p>
        <w:p w14:paraId="6AAFEEB5" w14:textId="0FEA5D33" w:rsidR="000505F6" w:rsidRDefault="00DE73D7">
          <w:pPr>
            <w:pStyle w:val="Obsah3"/>
            <w:rPr>
              <w:rFonts w:asciiTheme="minorHAnsi" w:eastAsiaTheme="minorEastAsia" w:hAnsiTheme="minorHAnsi" w:cstheme="minorBidi"/>
              <w:noProof/>
              <w:sz w:val="22"/>
              <w:szCs w:val="22"/>
            </w:rPr>
          </w:pPr>
          <w:hyperlink w:anchor="_Toc120784670" w:history="1">
            <w:r w:rsidR="000505F6" w:rsidRPr="00630166">
              <w:rPr>
                <w:rStyle w:val="Hypertextovodkaz"/>
                <w:noProof/>
              </w:rPr>
              <w:t>2.4.3</w:t>
            </w:r>
            <w:r w:rsidR="000505F6">
              <w:rPr>
                <w:rFonts w:asciiTheme="minorHAnsi" w:eastAsiaTheme="minorEastAsia" w:hAnsiTheme="minorHAnsi" w:cstheme="minorBidi"/>
                <w:noProof/>
                <w:sz w:val="22"/>
                <w:szCs w:val="22"/>
              </w:rPr>
              <w:tab/>
            </w:r>
            <w:r w:rsidR="000505F6" w:rsidRPr="00630166">
              <w:rPr>
                <w:rStyle w:val="Hypertextovodkaz"/>
                <w:noProof/>
              </w:rPr>
              <w:t>Alternativy zajištění jednotlivých aktivit</w:t>
            </w:r>
            <w:r w:rsidR="000505F6">
              <w:rPr>
                <w:noProof/>
                <w:webHidden/>
              </w:rPr>
              <w:tab/>
            </w:r>
            <w:r w:rsidR="000505F6">
              <w:rPr>
                <w:noProof/>
                <w:webHidden/>
              </w:rPr>
              <w:fldChar w:fldCharType="begin"/>
            </w:r>
            <w:r w:rsidR="000505F6">
              <w:rPr>
                <w:noProof/>
                <w:webHidden/>
              </w:rPr>
              <w:instrText xml:space="preserve"> PAGEREF _Toc120784670 \h </w:instrText>
            </w:r>
            <w:r w:rsidR="000505F6">
              <w:rPr>
                <w:noProof/>
                <w:webHidden/>
              </w:rPr>
            </w:r>
            <w:r w:rsidR="000505F6">
              <w:rPr>
                <w:noProof/>
                <w:webHidden/>
              </w:rPr>
              <w:fldChar w:fldCharType="separate"/>
            </w:r>
            <w:r w:rsidR="000505F6">
              <w:rPr>
                <w:noProof/>
                <w:webHidden/>
              </w:rPr>
              <w:t>11</w:t>
            </w:r>
            <w:r w:rsidR="000505F6">
              <w:rPr>
                <w:noProof/>
                <w:webHidden/>
              </w:rPr>
              <w:fldChar w:fldCharType="end"/>
            </w:r>
          </w:hyperlink>
        </w:p>
        <w:p w14:paraId="7A659355" w14:textId="35240A0B" w:rsidR="000505F6" w:rsidRDefault="00DE73D7">
          <w:pPr>
            <w:pStyle w:val="Obsah2"/>
            <w:rPr>
              <w:rFonts w:asciiTheme="minorHAnsi" w:eastAsiaTheme="minorEastAsia" w:hAnsiTheme="minorHAnsi" w:cstheme="minorBidi"/>
              <w:noProof/>
              <w:sz w:val="22"/>
              <w:szCs w:val="22"/>
            </w:rPr>
          </w:pPr>
          <w:hyperlink w:anchor="_Toc120784671" w:history="1">
            <w:r w:rsidR="000505F6" w:rsidRPr="00630166">
              <w:rPr>
                <w:rStyle w:val="Hypertextovodkaz"/>
                <w:rFonts w:cs="Arial"/>
                <w:noProof/>
              </w:rPr>
              <w:t>2.5</w:t>
            </w:r>
            <w:r w:rsidR="000505F6">
              <w:rPr>
                <w:rFonts w:asciiTheme="minorHAnsi" w:eastAsiaTheme="minorEastAsia" w:hAnsiTheme="minorHAnsi" w:cstheme="minorBidi"/>
                <w:noProof/>
                <w:sz w:val="22"/>
                <w:szCs w:val="22"/>
              </w:rPr>
              <w:tab/>
            </w:r>
            <w:r w:rsidR="000505F6" w:rsidRPr="00630166">
              <w:rPr>
                <w:rStyle w:val="Hypertextovodkaz"/>
                <w:rFonts w:cs="Arial"/>
                <w:noProof/>
              </w:rPr>
              <w:t>Způsoby vyhodnocení TCO</w:t>
            </w:r>
            <w:r w:rsidR="000505F6">
              <w:rPr>
                <w:noProof/>
                <w:webHidden/>
              </w:rPr>
              <w:tab/>
            </w:r>
            <w:r w:rsidR="000505F6">
              <w:rPr>
                <w:noProof/>
                <w:webHidden/>
              </w:rPr>
              <w:fldChar w:fldCharType="begin"/>
            </w:r>
            <w:r w:rsidR="000505F6">
              <w:rPr>
                <w:noProof/>
                <w:webHidden/>
              </w:rPr>
              <w:instrText xml:space="preserve"> PAGEREF _Toc120784671 \h </w:instrText>
            </w:r>
            <w:r w:rsidR="000505F6">
              <w:rPr>
                <w:noProof/>
                <w:webHidden/>
              </w:rPr>
            </w:r>
            <w:r w:rsidR="000505F6">
              <w:rPr>
                <w:noProof/>
                <w:webHidden/>
              </w:rPr>
              <w:fldChar w:fldCharType="separate"/>
            </w:r>
            <w:r w:rsidR="000505F6">
              <w:rPr>
                <w:noProof/>
                <w:webHidden/>
              </w:rPr>
              <w:t>12</w:t>
            </w:r>
            <w:r w:rsidR="000505F6">
              <w:rPr>
                <w:noProof/>
                <w:webHidden/>
              </w:rPr>
              <w:fldChar w:fldCharType="end"/>
            </w:r>
          </w:hyperlink>
        </w:p>
        <w:p w14:paraId="25D20E34" w14:textId="2D6299BF" w:rsidR="000505F6" w:rsidRDefault="00DE73D7">
          <w:pPr>
            <w:pStyle w:val="Obsah2"/>
            <w:rPr>
              <w:rFonts w:asciiTheme="minorHAnsi" w:eastAsiaTheme="minorEastAsia" w:hAnsiTheme="minorHAnsi" w:cstheme="minorBidi"/>
              <w:noProof/>
              <w:sz w:val="22"/>
              <w:szCs w:val="22"/>
            </w:rPr>
          </w:pPr>
          <w:hyperlink w:anchor="_Toc120784672" w:history="1">
            <w:r w:rsidR="000505F6" w:rsidRPr="00630166">
              <w:rPr>
                <w:rStyle w:val="Hypertextovodkaz"/>
                <w:noProof/>
              </w:rPr>
              <w:t>2.6</w:t>
            </w:r>
            <w:r w:rsidR="000505F6">
              <w:rPr>
                <w:rFonts w:asciiTheme="minorHAnsi" w:eastAsiaTheme="minorEastAsia" w:hAnsiTheme="minorHAnsi" w:cstheme="minorBidi"/>
                <w:noProof/>
                <w:sz w:val="22"/>
                <w:szCs w:val="22"/>
              </w:rPr>
              <w:tab/>
            </w:r>
            <w:r w:rsidR="000505F6" w:rsidRPr="00630166">
              <w:rPr>
                <w:rStyle w:val="Hypertextovodkaz"/>
                <w:noProof/>
              </w:rPr>
              <w:t>Legislativní zmocnění k vyhodnocování TCO</w:t>
            </w:r>
            <w:r w:rsidR="000505F6">
              <w:rPr>
                <w:noProof/>
                <w:webHidden/>
              </w:rPr>
              <w:tab/>
            </w:r>
            <w:r w:rsidR="000505F6">
              <w:rPr>
                <w:noProof/>
                <w:webHidden/>
              </w:rPr>
              <w:fldChar w:fldCharType="begin"/>
            </w:r>
            <w:r w:rsidR="000505F6">
              <w:rPr>
                <w:noProof/>
                <w:webHidden/>
              </w:rPr>
              <w:instrText xml:space="preserve"> PAGEREF _Toc120784672 \h </w:instrText>
            </w:r>
            <w:r w:rsidR="000505F6">
              <w:rPr>
                <w:noProof/>
                <w:webHidden/>
              </w:rPr>
            </w:r>
            <w:r w:rsidR="000505F6">
              <w:rPr>
                <w:noProof/>
                <w:webHidden/>
              </w:rPr>
              <w:fldChar w:fldCharType="separate"/>
            </w:r>
            <w:r w:rsidR="000505F6">
              <w:rPr>
                <w:noProof/>
                <w:webHidden/>
              </w:rPr>
              <w:t>12</w:t>
            </w:r>
            <w:r w:rsidR="000505F6">
              <w:rPr>
                <w:noProof/>
                <w:webHidden/>
              </w:rPr>
              <w:fldChar w:fldCharType="end"/>
            </w:r>
          </w:hyperlink>
        </w:p>
        <w:p w14:paraId="0677B125" w14:textId="6C6ED2A4" w:rsidR="000505F6" w:rsidRDefault="00DE73D7">
          <w:pPr>
            <w:pStyle w:val="Obsah3"/>
            <w:rPr>
              <w:rFonts w:asciiTheme="minorHAnsi" w:eastAsiaTheme="minorEastAsia" w:hAnsiTheme="minorHAnsi" w:cstheme="minorBidi"/>
              <w:noProof/>
              <w:sz w:val="22"/>
              <w:szCs w:val="22"/>
            </w:rPr>
          </w:pPr>
          <w:hyperlink w:anchor="_Toc120784673" w:history="1">
            <w:r w:rsidR="000505F6" w:rsidRPr="00630166">
              <w:rPr>
                <w:rStyle w:val="Hypertextovodkaz"/>
                <w:noProof/>
              </w:rPr>
              <w:t>2.6.1</w:t>
            </w:r>
            <w:r w:rsidR="000505F6">
              <w:rPr>
                <w:rFonts w:asciiTheme="minorHAnsi" w:eastAsiaTheme="minorEastAsia" w:hAnsiTheme="minorHAnsi" w:cstheme="minorBidi"/>
                <w:noProof/>
                <w:sz w:val="22"/>
                <w:szCs w:val="22"/>
              </w:rPr>
              <w:tab/>
            </w:r>
            <w:r w:rsidR="000505F6" w:rsidRPr="00630166">
              <w:rPr>
                <w:rStyle w:val="Hypertextovodkaz"/>
                <w:noProof/>
              </w:rPr>
              <w:t>Povinnosti ze zákona č. 365/2000 Sb., o ISVS</w:t>
            </w:r>
            <w:r w:rsidR="000505F6">
              <w:rPr>
                <w:noProof/>
                <w:webHidden/>
              </w:rPr>
              <w:tab/>
            </w:r>
            <w:r w:rsidR="000505F6">
              <w:rPr>
                <w:noProof/>
                <w:webHidden/>
              </w:rPr>
              <w:fldChar w:fldCharType="begin"/>
            </w:r>
            <w:r w:rsidR="000505F6">
              <w:rPr>
                <w:noProof/>
                <w:webHidden/>
              </w:rPr>
              <w:instrText xml:space="preserve"> PAGEREF _Toc120784673 \h </w:instrText>
            </w:r>
            <w:r w:rsidR="000505F6">
              <w:rPr>
                <w:noProof/>
                <w:webHidden/>
              </w:rPr>
            </w:r>
            <w:r w:rsidR="000505F6">
              <w:rPr>
                <w:noProof/>
                <w:webHidden/>
              </w:rPr>
              <w:fldChar w:fldCharType="separate"/>
            </w:r>
            <w:r w:rsidR="000505F6">
              <w:rPr>
                <w:noProof/>
                <w:webHidden/>
              </w:rPr>
              <w:t>12</w:t>
            </w:r>
            <w:r w:rsidR="000505F6">
              <w:rPr>
                <w:noProof/>
                <w:webHidden/>
              </w:rPr>
              <w:fldChar w:fldCharType="end"/>
            </w:r>
          </w:hyperlink>
        </w:p>
        <w:p w14:paraId="38D37A29" w14:textId="1AF8B3EB" w:rsidR="000505F6" w:rsidRDefault="00DE73D7">
          <w:pPr>
            <w:pStyle w:val="Obsah3"/>
            <w:rPr>
              <w:rFonts w:asciiTheme="minorHAnsi" w:eastAsiaTheme="minorEastAsia" w:hAnsiTheme="minorHAnsi" w:cstheme="minorBidi"/>
              <w:noProof/>
              <w:sz w:val="22"/>
              <w:szCs w:val="22"/>
            </w:rPr>
          </w:pPr>
          <w:hyperlink w:anchor="_Toc120784674" w:history="1">
            <w:r w:rsidR="000505F6" w:rsidRPr="00630166">
              <w:rPr>
                <w:rStyle w:val="Hypertextovodkaz"/>
                <w:noProof/>
              </w:rPr>
              <w:t>2.6.2</w:t>
            </w:r>
            <w:r w:rsidR="000505F6">
              <w:rPr>
                <w:rFonts w:asciiTheme="minorHAnsi" w:eastAsiaTheme="minorEastAsia" w:hAnsiTheme="minorHAnsi" w:cstheme="minorBidi"/>
                <w:noProof/>
                <w:sz w:val="22"/>
                <w:szCs w:val="22"/>
              </w:rPr>
              <w:tab/>
            </w:r>
            <w:r w:rsidR="000505F6" w:rsidRPr="00630166">
              <w:rPr>
                <w:rStyle w:val="Hypertextovodkaz"/>
                <w:noProof/>
              </w:rPr>
              <w:t>Povinnosti z prováděcí vyhlášky (původně 529)</w:t>
            </w:r>
            <w:r w:rsidR="000505F6">
              <w:rPr>
                <w:noProof/>
                <w:webHidden/>
              </w:rPr>
              <w:tab/>
            </w:r>
            <w:r w:rsidR="000505F6">
              <w:rPr>
                <w:noProof/>
                <w:webHidden/>
              </w:rPr>
              <w:fldChar w:fldCharType="begin"/>
            </w:r>
            <w:r w:rsidR="000505F6">
              <w:rPr>
                <w:noProof/>
                <w:webHidden/>
              </w:rPr>
              <w:instrText xml:space="preserve"> PAGEREF _Toc120784674 \h </w:instrText>
            </w:r>
            <w:r w:rsidR="000505F6">
              <w:rPr>
                <w:noProof/>
                <w:webHidden/>
              </w:rPr>
            </w:r>
            <w:r w:rsidR="000505F6">
              <w:rPr>
                <w:noProof/>
                <w:webHidden/>
              </w:rPr>
              <w:fldChar w:fldCharType="separate"/>
            </w:r>
            <w:r w:rsidR="000505F6">
              <w:rPr>
                <w:noProof/>
                <w:webHidden/>
              </w:rPr>
              <w:t>13</w:t>
            </w:r>
            <w:r w:rsidR="000505F6">
              <w:rPr>
                <w:noProof/>
                <w:webHidden/>
              </w:rPr>
              <w:fldChar w:fldCharType="end"/>
            </w:r>
          </w:hyperlink>
        </w:p>
        <w:p w14:paraId="240246B2" w14:textId="27EB92D3" w:rsidR="000505F6" w:rsidRDefault="00DE73D7">
          <w:pPr>
            <w:pStyle w:val="Obsah1"/>
            <w:rPr>
              <w:rFonts w:asciiTheme="minorHAnsi" w:eastAsiaTheme="minorEastAsia" w:hAnsiTheme="minorHAnsi" w:cstheme="minorBidi"/>
              <w:b w:val="0"/>
              <w:noProof/>
              <w:sz w:val="22"/>
              <w:szCs w:val="22"/>
            </w:rPr>
          </w:pPr>
          <w:hyperlink w:anchor="_Toc120784675" w:history="1">
            <w:r w:rsidR="000505F6" w:rsidRPr="00630166">
              <w:rPr>
                <w:rStyle w:val="Hypertextovodkaz"/>
                <w:rFonts w:cs="Arial"/>
                <w:noProof/>
              </w:rPr>
              <w:t>3.</w:t>
            </w:r>
            <w:r w:rsidR="000505F6">
              <w:rPr>
                <w:rFonts w:asciiTheme="minorHAnsi" w:eastAsiaTheme="minorEastAsia" w:hAnsiTheme="minorHAnsi" w:cstheme="minorBidi"/>
                <w:b w:val="0"/>
                <w:noProof/>
                <w:sz w:val="22"/>
                <w:szCs w:val="22"/>
              </w:rPr>
              <w:tab/>
            </w:r>
            <w:r w:rsidR="000505F6" w:rsidRPr="00630166">
              <w:rPr>
                <w:rStyle w:val="Hypertextovodkaz"/>
                <w:rFonts w:cs="Arial"/>
                <w:noProof/>
              </w:rPr>
              <w:t>Způsoby využití ukazatele TCO v řízení ICT VS</w:t>
            </w:r>
            <w:r w:rsidR="000505F6">
              <w:rPr>
                <w:noProof/>
                <w:webHidden/>
              </w:rPr>
              <w:tab/>
            </w:r>
            <w:r w:rsidR="000505F6">
              <w:rPr>
                <w:noProof/>
                <w:webHidden/>
              </w:rPr>
              <w:fldChar w:fldCharType="begin"/>
            </w:r>
            <w:r w:rsidR="000505F6">
              <w:rPr>
                <w:noProof/>
                <w:webHidden/>
              </w:rPr>
              <w:instrText xml:space="preserve"> PAGEREF _Toc120784675 \h </w:instrText>
            </w:r>
            <w:r w:rsidR="000505F6">
              <w:rPr>
                <w:noProof/>
                <w:webHidden/>
              </w:rPr>
            </w:r>
            <w:r w:rsidR="000505F6">
              <w:rPr>
                <w:noProof/>
                <w:webHidden/>
              </w:rPr>
              <w:fldChar w:fldCharType="separate"/>
            </w:r>
            <w:r w:rsidR="000505F6">
              <w:rPr>
                <w:noProof/>
                <w:webHidden/>
              </w:rPr>
              <w:t>13</w:t>
            </w:r>
            <w:r w:rsidR="000505F6">
              <w:rPr>
                <w:noProof/>
                <w:webHidden/>
              </w:rPr>
              <w:fldChar w:fldCharType="end"/>
            </w:r>
          </w:hyperlink>
        </w:p>
        <w:p w14:paraId="065EDF4D" w14:textId="372CB8B2" w:rsidR="000505F6" w:rsidRDefault="00DE73D7">
          <w:pPr>
            <w:pStyle w:val="Obsah2"/>
            <w:rPr>
              <w:rFonts w:asciiTheme="minorHAnsi" w:eastAsiaTheme="minorEastAsia" w:hAnsiTheme="minorHAnsi" w:cstheme="minorBidi"/>
              <w:noProof/>
              <w:sz w:val="22"/>
              <w:szCs w:val="22"/>
            </w:rPr>
          </w:pPr>
          <w:hyperlink w:anchor="_Toc120784676" w:history="1">
            <w:r w:rsidR="000505F6" w:rsidRPr="00630166">
              <w:rPr>
                <w:rStyle w:val="Hypertextovodkaz"/>
                <w:rFonts w:cs="Arial"/>
                <w:noProof/>
              </w:rPr>
              <w:t>3.1</w:t>
            </w:r>
            <w:r w:rsidR="000505F6">
              <w:rPr>
                <w:rFonts w:asciiTheme="minorHAnsi" w:eastAsiaTheme="minorEastAsia" w:hAnsiTheme="minorHAnsi" w:cstheme="minorBidi"/>
                <w:noProof/>
                <w:sz w:val="22"/>
                <w:szCs w:val="22"/>
              </w:rPr>
              <w:tab/>
            </w:r>
            <w:r w:rsidR="000505F6" w:rsidRPr="00630166">
              <w:rPr>
                <w:rStyle w:val="Hypertextovodkaz"/>
                <w:rFonts w:cs="Arial"/>
                <w:noProof/>
              </w:rPr>
              <w:t>Srovnávací šetření TCO stávajících IS ve veřejné správě</w:t>
            </w:r>
            <w:r w:rsidR="000505F6">
              <w:rPr>
                <w:noProof/>
                <w:webHidden/>
              </w:rPr>
              <w:tab/>
            </w:r>
            <w:r w:rsidR="000505F6">
              <w:rPr>
                <w:noProof/>
                <w:webHidden/>
              </w:rPr>
              <w:fldChar w:fldCharType="begin"/>
            </w:r>
            <w:r w:rsidR="000505F6">
              <w:rPr>
                <w:noProof/>
                <w:webHidden/>
              </w:rPr>
              <w:instrText xml:space="preserve"> PAGEREF _Toc120784676 \h </w:instrText>
            </w:r>
            <w:r w:rsidR="000505F6">
              <w:rPr>
                <w:noProof/>
                <w:webHidden/>
              </w:rPr>
            </w:r>
            <w:r w:rsidR="000505F6">
              <w:rPr>
                <w:noProof/>
                <w:webHidden/>
              </w:rPr>
              <w:fldChar w:fldCharType="separate"/>
            </w:r>
            <w:r w:rsidR="000505F6">
              <w:rPr>
                <w:noProof/>
                <w:webHidden/>
              </w:rPr>
              <w:t>14</w:t>
            </w:r>
            <w:r w:rsidR="000505F6">
              <w:rPr>
                <w:noProof/>
                <w:webHidden/>
              </w:rPr>
              <w:fldChar w:fldCharType="end"/>
            </w:r>
          </w:hyperlink>
        </w:p>
        <w:p w14:paraId="00A94F23" w14:textId="3679A9D3" w:rsidR="000505F6" w:rsidRDefault="00DE73D7">
          <w:pPr>
            <w:pStyle w:val="Obsah2"/>
            <w:rPr>
              <w:rFonts w:asciiTheme="minorHAnsi" w:eastAsiaTheme="minorEastAsia" w:hAnsiTheme="minorHAnsi" w:cstheme="minorBidi"/>
              <w:noProof/>
              <w:sz w:val="22"/>
              <w:szCs w:val="22"/>
            </w:rPr>
          </w:pPr>
          <w:hyperlink w:anchor="_Toc120784677" w:history="1">
            <w:r w:rsidR="000505F6" w:rsidRPr="00630166">
              <w:rPr>
                <w:rStyle w:val="Hypertextovodkaz"/>
                <w:rFonts w:cs="Arial"/>
                <w:noProof/>
              </w:rPr>
              <w:t>3.2</w:t>
            </w:r>
            <w:r w:rsidR="000505F6">
              <w:rPr>
                <w:rFonts w:asciiTheme="minorHAnsi" w:eastAsiaTheme="minorEastAsia" w:hAnsiTheme="minorHAnsi" w:cstheme="minorBidi"/>
                <w:noProof/>
                <w:sz w:val="22"/>
                <w:szCs w:val="22"/>
              </w:rPr>
              <w:tab/>
            </w:r>
            <w:r w:rsidR="000505F6" w:rsidRPr="00630166">
              <w:rPr>
                <w:rStyle w:val="Hypertextovodkaz"/>
                <w:rFonts w:cs="Arial"/>
                <w:noProof/>
              </w:rPr>
              <w:t>Posuzování efektivity variant nových ICT investic</w:t>
            </w:r>
            <w:r w:rsidR="000505F6">
              <w:rPr>
                <w:noProof/>
                <w:webHidden/>
              </w:rPr>
              <w:tab/>
            </w:r>
            <w:r w:rsidR="000505F6">
              <w:rPr>
                <w:noProof/>
                <w:webHidden/>
              </w:rPr>
              <w:fldChar w:fldCharType="begin"/>
            </w:r>
            <w:r w:rsidR="000505F6">
              <w:rPr>
                <w:noProof/>
                <w:webHidden/>
              </w:rPr>
              <w:instrText xml:space="preserve"> PAGEREF _Toc120784677 \h </w:instrText>
            </w:r>
            <w:r w:rsidR="000505F6">
              <w:rPr>
                <w:noProof/>
                <w:webHidden/>
              </w:rPr>
            </w:r>
            <w:r w:rsidR="000505F6">
              <w:rPr>
                <w:noProof/>
                <w:webHidden/>
              </w:rPr>
              <w:fldChar w:fldCharType="separate"/>
            </w:r>
            <w:r w:rsidR="000505F6">
              <w:rPr>
                <w:noProof/>
                <w:webHidden/>
              </w:rPr>
              <w:t>15</w:t>
            </w:r>
            <w:r w:rsidR="000505F6">
              <w:rPr>
                <w:noProof/>
                <w:webHidden/>
              </w:rPr>
              <w:fldChar w:fldCharType="end"/>
            </w:r>
          </w:hyperlink>
        </w:p>
        <w:p w14:paraId="7A4DB419" w14:textId="5CA6ABB0" w:rsidR="000505F6" w:rsidRDefault="00DE73D7">
          <w:pPr>
            <w:pStyle w:val="Obsah3"/>
            <w:rPr>
              <w:rFonts w:asciiTheme="minorHAnsi" w:eastAsiaTheme="minorEastAsia" w:hAnsiTheme="minorHAnsi" w:cstheme="minorBidi"/>
              <w:noProof/>
              <w:sz w:val="22"/>
              <w:szCs w:val="22"/>
            </w:rPr>
          </w:pPr>
          <w:hyperlink w:anchor="_Toc120784678" w:history="1">
            <w:r w:rsidR="000505F6" w:rsidRPr="00630166">
              <w:rPr>
                <w:rStyle w:val="Hypertextovodkaz"/>
                <w:rFonts w:cs="Arial"/>
                <w:noProof/>
              </w:rPr>
              <w:t>3.2.1</w:t>
            </w:r>
            <w:r w:rsidR="000505F6">
              <w:rPr>
                <w:rFonts w:asciiTheme="minorHAnsi" w:eastAsiaTheme="minorEastAsia" w:hAnsiTheme="minorHAnsi" w:cstheme="minorBidi"/>
                <w:noProof/>
                <w:sz w:val="22"/>
                <w:szCs w:val="22"/>
              </w:rPr>
              <w:tab/>
            </w:r>
            <w:r w:rsidR="000505F6" w:rsidRPr="00630166">
              <w:rPr>
                <w:rStyle w:val="Hypertextovodkaz"/>
                <w:rFonts w:cs="Arial"/>
                <w:noProof/>
              </w:rPr>
              <w:t>Porovnání variant možných řešení při zvažování eGovernment Cloudu</w:t>
            </w:r>
            <w:r w:rsidR="000505F6">
              <w:rPr>
                <w:noProof/>
                <w:webHidden/>
              </w:rPr>
              <w:tab/>
            </w:r>
            <w:r w:rsidR="000505F6">
              <w:rPr>
                <w:noProof/>
                <w:webHidden/>
              </w:rPr>
              <w:fldChar w:fldCharType="begin"/>
            </w:r>
            <w:r w:rsidR="000505F6">
              <w:rPr>
                <w:noProof/>
                <w:webHidden/>
              </w:rPr>
              <w:instrText xml:space="preserve"> PAGEREF _Toc120784678 \h </w:instrText>
            </w:r>
            <w:r w:rsidR="000505F6">
              <w:rPr>
                <w:noProof/>
                <w:webHidden/>
              </w:rPr>
            </w:r>
            <w:r w:rsidR="000505F6">
              <w:rPr>
                <w:noProof/>
                <w:webHidden/>
              </w:rPr>
              <w:fldChar w:fldCharType="separate"/>
            </w:r>
            <w:r w:rsidR="000505F6">
              <w:rPr>
                <w:noProof/>
                <w:webHidden/>
              </w:rPr>
              <w:t>16</w:t>
            </w:r>
            <w:r w:rsidR="000505F6">
              <w:rPr>
                <w:noProof/>
                <w:webHidden/>
              </w:rPr>
              <w:fldChar w:fldCharType="end"/>
            </w:r>
          </w:hyperlink>
        </w:p>
        <w:p w14:paraId="120320BE" w14:textId="721901E8" w:rsidR="000505F6" w:rsidRDefault="00DE73D7">
          <w:pPr>
            <w:pStyle w:val="Obsah3"/>
            <w:rPr>
              <w:rFonts w:asciiTheme="minorHAnsi" w:eastAsiaTheme="minorEastAsia" w:hAnsiTheme="minorHAnsi" w:cstheme="minorBidi"/>
              <w:noProof/>
              <w:sz w:val="22"/>
              <w:szCs w:val="22"/>
            </w:rPr>
          </w:pPr>
          <w:hyperlink w:anchor="_Toc120784679" w:history="1">
            <w:r w:rsidR="000505F6" w:rsidRPr="00630166">
              <w:rPr>
                <w:rStyle w:val="Hypertextovodkaz"/>
                <w:rFonts w:cs="Arial"/>
                <w:noProof/>
              </w:rPr>
              <w:t>3.2.2</w:t>
            </w:r>
            <w:r w:rsidR="000505F6">
              <w:rPr>
                <w:rFonts w:asciiTheme="minorHAnsi" w:eastAsiaTheme="minorEastAsia" w:hAnsiTheme="minorHAnsi" w:cstheme="minorBidi"/>
                <w:noProof/>
                <w:sz w:val="22"/>
                <w:szCs w:val="22"/>
              </w:rPr>
              <w:tab/>
            </w:r>
            <w:r w:rsidR="000505F6" w:rsidRPr="00630166">
              <w:rPr>
                <w:rStyle w:val="Hypertextovodkaz"/>
                <w:rFonts w:cs="Arial"/>
                <w:noProof/>
              </w:rPr>
              <w:t>Porovnání variant možných řešení při různých bezpečnostních úrovních (BÚ)</w:t>
            </w:r>
            <w:r w:rsidR="000505F6">
              <w:rPr>
                <w:noProof/>
                <w:webHidden/>
              </w:rPr>
              <w:tab/>
            </w:r>
            <w:r w:rsidR="000505F6">
              <w:rPr>
                <w:noProof/>
                <w:webHidden/>
              </w:rPr>
              <w:fldChar w:fldCharType="begin"/>
            </w:r>
            <w:r w:rsidR="000505F6">
              <w:rPr>
                <w:noProof/>
                <w:webHidden/>
              </w:rPr>
              <w:instrText xml:space="preserve"> PAGEREF _Toc120784679 \h </w:instrText>
            </w:r>
            <w:r w:rsidR="000505F6">
              <w:rPr>
                <w:noProof/>
                <w:webHidden/>
              </w:rPr>
            </w:r>
            <w:r w:rsidR="000505F6">
              <w:rPr>
                <w:noProof/>
                <w:webHidden/>
              </w:rPr>
              <w:fldChar w:fldCharType="separate"/>
            </w:r>
            <w:r w:rsidR="000505F6">
              <w:rPr>
                <w:noProof/>
                <w:webHidden/>
              </w:rPr>
              <w:t>16</w:t>
            </w:r>
            <w:r w:rsidR="000505F6">
              <w:rPr>
                <w:noProof/>
                <w:webHidden/>
              </w:rPr>
              <w:fldChar w:fldCharType="end"/>
            </w:r>
          </w:hyperlink>
        </w:p>
        <w:p w14:paraId="1D0BC934" w14:textId="33E0BC8C" w:rsidR="000505F6" w:rsidRDefault="00DE73D7">
          <w:pPr>
            <w:pStyle w:val="Obsah2"/>
            <w:rPr>
              <w:rFonts w:asciiTheme="minorHAnsi" w:eastAsiaTheme="minorEastAsia" w:hAnsiTheme="minorHAnsi" w:cstheme="minorBidi"/>
              <w:noProof/>
              <w:sz w:val="22"/>
              <w:szCs w:val="22"/>
            </w:rPr>
          </w:pPr>
          <w:hyperlink w:anchor="_Toc120784680" w:history="1">
            <w:r w:rsidR="000505F6" w:rsidRPr="00630166">
              <w:rPr>
                <w:rStyle w:val="Hypertextovodkaz"/>
                <w:rFonts w:cs="Arial"/>
                <w:noProof/>
              </w:rPr>
              <w:t>3.3</w:t>
            </w:r>
            <w:r w:rsidR="000505F6">
              <w:rPr>
                <w:rFonts w:asciiTheme="minorHAnsi" w:eastAsiaTheme="minorEastAsia" w:hAnsiTheme="minorHAnsi" w:cstheme="minorBidi"/>
                <w:noProof/>
                <w:sz w:val="22"/>
                <w:szCs w:val="22"/>
              </w:rPr>
              <w:tab/>
            </w:r>
            <w:r w:rsidR="000505F6" w:rsidRPr="00630166">
              <w:rPr>
                <w:rStyle w:val="Hypertextovodkaz"/>
                <w:rFonts w:cs="Arial"/>
                <w:noProof/>
              </w:rPr>
              <w:t>Uplatnění ukazatele TCO v Žádosti o stanovisko OHA k projektu či záměru</w:t>
            </w:r>
            <w:r w:rsidR="000505F6">
              <w:rPr>
                <w:noProof/>
                <w:webHidden/>
              </w:rPr>
              <w:tab/>
            </w:r>
            <w:r w:rsidR="000505F6">
              <w:rPr>
                <w:noProof/>
                <w:webHidden/>
              </w:rPr>
              <w:fldChar w:fldCharType="begin"/>
            </w:r>
            <w:r w:rsidR="000505F6">
              <w:rPr>
                <w:noProof/>
                <w:webHidden/>
              </w:rPr>
              <w:instrText xml:space="preserve"> PAGEREF _Toc120784680 \h </w:instrText>
            </w:r>
            <w:r w:rsidR="000505F6">
              <w:rPr>
                <w:noProof/>
                <w:webHidden/>
              </w:rPr>
            </w:r>
            <w:r w:rsidR="000505F6">
              <w:rPr>
                <w:noProof/>
                <w:webHidden/>
              </w:rPr>
              <w:fldChar w:fldCharType="separate"/>
            </w:r>
            <w:r w:rsidR="000505F6">
              <w:rPr>
                <w:noProof/>
                <w:webHidden/>
              </w:rPr>
              <w:t>16</w:t>
            </w:r>
            <w:r w:rsidR="000505F6">
              <w:rPr>
                <w:noProof/>
                <w:webHidden/>
              </w:rPr>
              <w:fldChar w:fldCharType="end"/>
            </w:r>
          </w:hyperlink>
        </w:p>
        <w:p w14:paraId="6832A1DC" w14:textId="6AF293AC" w:rsidR="000505F6" w:rsidRDefault="00DE73D7">
          <w:pPr>
            <w:pStyle w:val="Obsah3"/>
            <w:rPr>
              <w:rFonts w:asciiTheme="minorHAnsi" w:eastAsiaTheme="minorEastAsia" w:hAnsiTheme="minorHAnsi" w:cstheme="minorBidi"/>
              <w:noProof/>
              <w:sz w:val="22"/>
              <w:szCs w:val="22"/>
            </w:rPr>
          </w:pPr>
          <w:hyperlink w:anchor="_Toc120784682" w:history="1">
            <w:r w:rsidR="000505F6" w:rsidRPr="00630166">
              <w:rPr>
                <w:rStyle w:val="Hypertextovodkaz"/>
                <w:rFonts w:cs="Arial"/>
                <w:noProof/>
              </w:rPr>
              <w:t>3.3.1</w:t>
            </w:r>
            <w:r w:rsidR="000505F6">
              <w:rPr>
                <w:rFonts w:asciiTheme="minorHAnsi" w:eastAsiaTheme="minorEastAsia" w:hAnsiTheme="minorHAnsi" w:cstheme="minorBidi"/>
                <w:noProof/>
                <w:sz w:val="22"/>
                <w:szCs w:val="22"/>
              </w:rPr>
              <w:tab/>
            </w:r>
            <w:r w:rsidR="000505F6" w:rsidRPr="00630166">
              <w:rPr>
                <w:rStyle w:val="Hypertextovodkaz"/>
                <w:rFonts w:cs="Arial"/>
                <w:noProof/>
              </w:rPr>
              <w:t>Ekonomické parametry projektu</w:t>
            </w:r>
            <w:r w:rsidR="000505F6">
              <w:rPr>
                <w:noProof/>
                <w:webHidden/>
              </w:rPr>
              <w:tab/>
            </w:r>
            <w:r w:rsidR="000505F6">
              <w:rPr>
                <w:noProof/>
                <w:webHidden/>
              </w:rPr>
              <w:fldChar w:fldCharType="begin"/>
            </w:r>
            <w:r w:rsidR="000505F6">
              <w:rPr>
                <w:noProof/>
                <w:webHidden/>
              </w:rPr>
              <w:instrText xml:space="preserve"> PAGEREF _Toc120784682 \h </w:instrText>
            </w:r>
            <w:r w:rsidR="000505F6">
              <w:rPr>
                <w:noProof/>
                <w:webHidden/>
              </w:rPr>
            </w:r>
            <w:r w:rsidR="000505F6">
              <w:rPr>
                <w:noProof/>
                <w:webHidden/>
              </w:rPr>
              <w:fldChar w:fldCharType="separate"/>
            </w:r>
            <w:r w:rsidR="000505F6">
              <w:rPr>
                <w:noProof/>
                <w:webHidden/>
              </w:rPr>
              <w:t>17</w:t>
            </w:r>
            <w:r w:rsidR="000505F6">
              <w:rPr>
                <w:noProof/>
                <w:webHidden/>
              </w:rPr>
              <w:fldChar w:fldCharType="end"/>
            </w:r>
          </w:hyperlink>
        </w:p>
        <w:p w14:paraId="79786A2E" w14:textId="6E7515C6" w:rsidR="000505F6" w:rsidRDefault="00DE73D7">
          <w:pPr>
            <w:pStyle w:val="Obsah3"/>
            <w:rPr>
              <w:rFonts w:asciiTheme="minorHAnsi" w:eastAsiaTheme="minorEastAsia" w:hAnsiTheme="minorHAnsi" w:cstheme="minorBidi"/>
              <w:noProof/>
              <w:sz w:val="22"/>
              <w:szCs w:val="22"/>
            </w:rPr>
          </w:pPr>
          <w:hyperlink w:anchor="_Toc120784685" w:history="1">
            <w:r w:rsidR="000505F6" w:rsidRPr="00630166">
              <w:rPr>
                <w:rStyle w:val="Hypertextovodkaz"/>
                <w:rFonts w:cs="Arial"/>
                <w:noProof/>
              </w:rPr>
              <w:t>3.3.2</w:t>
            </w:r>
            <w:r w:rsidR="000505F6">
              <w:rPr>
                <w:rFonts w:asciiTheme="minorHAnsi" w:eastAsiaTheme="minorEastAsia" w:hAnsiTheme="minorHAnsi" w:cstheme="minorBidi"/>
                <w:noProof/>
                <w:sz w:val="22"/>
                <w:szCs w:val="22"/>
              </w:rPr>
              <w:tab/>
            </w:r>
            <w:r w:rsidR="000505F6" w:rsidRPr="00630166">
              <w:rPr>
                <w:rStyle w:val="Hypertextovodkaz"/>
                <w:rFonts w:cs="Arial"/>
                <w:noProof/>
              </w:rPr>
              <w:t>Vyčíslení ekonomické náročnosti pomocí TCO</w:t>
            </w:r>
            <w:r w:rsidR="000505F6">
              <w:rPr>
                <w:noProof/>
                <w:webHidden/>
              </w:rPr>
              <w:tab/>
            </w:r>
            <w:r w:rsidR="000505F6">
              <w:rPr>
                <w:noProof/>
                <w:webHidden/>
              </w:rPr>
              <w:fldChar w:fldCharType="begin"/>
            </w:r>
            <w:r w:rsidR="000505F6">
              <w:rPr>
                <w:noProof/>
                <w:webHidden/>
              </w:rPr>
              <w:instrText xml:space="preserve"> PAGEREF _Toc120784685 \h </w:instrText>
            </w:r>
            <w:r w:rsidR="000505F6">
              <w:rPr>
                <w:noProof/>
                <w:webHidden/>
              </w:rPr>
            </w:r>
            <w:r w:rsidR="000505F6">
              <w:rPr>
                <w:noProof/>
                <w:webHidden/>
              </w:rPr>
              <w:fldChar w:fldCharType="separate"/>
            </w:r>
            <w:r w:rsidR="000505F6">
              <w:rPr>
                <w:noProof/>
                <w:webHidden/>
              </w:rPr>
              <w:t>20</w:t>
            </w:r>
            <w:r w:rsidR="000505F6">
              <w:rPr>
                <w:noProof/>
                <w:webHidden/>
              </w:rPr>
              <w:fldChar w:fldCharType="end"/>
            </w:r>
          </w:hyperlink>
        </w:p>
        <w:p w14:paraId="1B8E712E" w14:textId="07FB995C" w:rsidR="000505F6" w:rsidRDefault="00DE73D7">
          <w:pPr>
            <w:pStyle w:val="Obsah3"/>
            <w:rPr>
              <w:rFonts w:asciiTheme="minorHAnsi" w:eastAsiaTheme="minorEastAsia" w:hAnsiTheme="minorHAnsi" w:cstheme="minorBidi"/>
              <w:noProof/>
              <w:sz w:val="22"/>
              <w:szCs w:val="22"/>
            </w:rPr>
          </w:pPr>
          <w:hyperlink w:anchor="_Toc120784688" w:history="1">
            <w:r w:rsidR="000505F6" w:rsidRPr="00630166">
              <w:rPr>
                <w:rStyle w:val="Hypertextovodkaz"/>
                <w:rFonts w:cs="Arial"/>
                <w:noProof/>
              </w:rPr>
              <w:t>3.3.3</w:t>
            </w:r>
            <w:r w:rsidR="000505F6">
              <w:rPr>
                <w:rFonts w:asciiTheme="minorHAnsi" w:eastAsiaTheme="minorEastAsia" w:hAnsiTheme="minorHAnsi" w:cstheme="minorBidi"/>
                <w:noProof/>
                <w:sz w:val="22"/>
                <w:szCs w:val="22"/>
              </w:rPr>
              <w:tab/>
            </w:r>
            <w:r w:rsidR="000505F6" w:rsidRPr="00630166">
              <w:rPr>
                <w:rStyle w:val="Hypertextovodkaz"/>
                <w:rFonts w:cs="Arial"/>
                <w:noProof/>
              </w:rPr>
              <w:t>Odůvodnění výběru zvolené varianty na základě ekonomické výhodnosti</w:t>
            </w:r>
            <w:r w:rsidR="000505F6">
              <w:rPr>
                <w:noProof/>
                <w:webHidden/>
              </w:rPr>
              <w:tab/>
            </w:r>
            <w:r w:rsidR="000505F6">
              <w:rPr>
                <w:noProof/>
                <w:webHidden/>
              </w:rPr>
              <w:fldChar w:fldCharType="begin"/>
            </w:r>
            <w:r w:rsidR="000505F6">
              <w:rPr>
                <w:noProof/>
                <w:webHidden/>
              </w:rPr>
              <w:instrText xml:space="preserve"> PAGEREF _Toc120784688 \h </w:instrText>
            </w:r>
            <w:r w:rsidR="000505F6">
              <w:rPr>
                <w:noProof/>
                <w:webHidden/>
              </w:rPr>
            </w:r>
            <w:r w:rsidR="000505F6">
              <w:rPr>
                <w:noProof/>
                <w:webHidden/>
              </w:rPr>
              <w:fldChar w:fldCharType="separate"/>
            </w:r>
            <w:r w:rsidR="000505F6">
              <w:rPr>
                <w:noProof/>
                <w:webHidden/>
              </w:rPr>
              <w:t>22</w:t>
            </w:r>
            <w:r w:rsidR="000505F6">
              <w:rPr>
                <w:noProof/>
                <w:webHidden/>
              </w:rPr>
              <w:fldChar w:fldCharType="end"/>
            </w:r>
          </w:hyperlink>
        </w:p>
        <w:p w14:paraId="4298BEF6" w14:textId="234E28F1" w:rsidR="000505F6" w:rsidRDefault="00DE73D7">
          <w:pPr>
            <w:pStyle w:val="Obsah2"/>
            <w:rPr>
              <w:rFonts w:asciiTheme="minorHAnsi" w:eastAsiaTheme="minorEastAsia" w:hAnsiTheme="minorHAnsi" w:cstheme="minorBidi"/>
              <w:noProof/>
              <w:sz w:val="22"/>
              <w:szCs w:val="22"/>
            </w:rPr>
          </w:pPr>
          <w:hyperlink w:anchor="_Toc120784690" w:history="1">
            <w:r w:rsidR="000505F6" w:rsidRPr="00630166">
              <w:rPr>
                <w:rStyle w:val="Hypertextovodkaz"/>
                <w:rFonts w:cs="Arial"/>
                <w:noProof/>
              </w:rPr>
              <w:t>3.4</w:t>
            </w:r>
            <w:r w:rsidR="000505F6">
              <w:rPr>
                <w:rFonts w:asciiTheme="minorHAnsi" w:eastAsiaTheme="minorEastAsia" w:hAnsiTheme="minorHAnsi" w:cstheme="minorBidi"/>
                <w:noProof/>
                <w:sz w:val="22"/>
                <w:szCs w:val="22"/>
              </w:rPr>
              <w:tab/>
            </w:r>
            <w:r w:rsidR="000505F6" w:rsidRPr="00630166">
              <w:rPr>
                <w:rStyle w:val="Hypertextovodkaz"/>
                <w:rFonts w:cs="Arial"/>
                <w:noProof/>
              </w:rPr>
              <w:t>Detailní řízení nákladů - Controlling ICT VS</w:t>
            </w:r>
            <w:r w:rsidR="000505F6">
              <w:rPr>
                <w:noProof/>
                <w:webHidden/>
              </w:rPr>
              <w:tab/>
            </w:r>
            <w:r w:rsidR="000505F6">
              <w:rPr>
                <w:noProof/>
                <w:webHidden/>
              </w:rPr>
              <w:fldChar w:fldCharType="begin"/>
            </w:r>
            <w:r w:rsidR="000505F6">
              <w:rPr>
                <w:noProof/>
                <w:webHidden/>
              </w:rPr>
              <w:instrText xml:space="preserve"> PAGEREF _Toc120784690 \h </w:instrText>
            </w:r>
            <w:r w:rsidR="000505F6">
              <w:rPr>
                <w:noProof/>
                <w:webHidden/>
              </w:rPr>
            </w:r>
            <w:r w:rsidR="000505F6">
              <w:rPr>
                <w:noProof/>
                <w:webHidden/>
              </w:rPr>
              <w:fldChar w:fldCharType="separate"/>
            </w:r>
            <w:r w:rsidR="000505F6">
              <w:rPr>
                <w:noProof/>
                <w:webHidden/>
              </w:rPr>
              <w:t>22</w:t>
            </w:r>
            <w:r w:rsidR="000505F6">
              <w:rPr>
                <w:noProof/>
                <w:webHidden/>
              </w:rPr>
              <w:fldChar w:fldCharType="end"/>
            </w:r>
          </w:hyperlink>
        </w:p>
        <w:p w14:paraId="78E2C79E" w14:textId="6CB21236" w:rsidR="000505F6" w:rsidRDefault="00DE73D7">
          <w:pPr>
            <w:pStyle w:val="Obsah2"/>
            <w:rPr>
              <w:rFonts w:asciiTheme="minorHAnsi" w:eastAsiaTheme="minorEastAsia" w:hAnsiTheme="minorHAnsi" w:cstheme="minorBidi"/>
              <w:noProof/>
              <w:sz w:val="22"/>
              <w:szCs w:val="22"/>
            </w:rPr>
          </w:pPr>
          <w:hyperlink w:anchor="_Toc120784692" w:history="1">
            <w:r w:rsidR="000505F6" w:rsidRPr="00630166">
              <w:rPr>
                <w:rStyle w:val="Hypertextovodkaz"/>
                <w:rFonts w:cs="Arial"/>
                <w:noProof/>
              </w:rPr>
              <w:t>3.5</w:t>
            </w:r>
            <w:r w:rsidR="000505F6">
              <w:rPr>
                <w:rFonts w:asciiTheme="minorHAnsi" w:eastAsiaTheme="minorEastAsia" w:hAnsiTheme="minorHAnsi" w:cstheme="minorBidi"/>
                <w:noProof/>
                <w:sz w:val="22"/>
                <w:szCs w:val="22"/>
              </w:rPr>
              <w:tab/>
            </w:r>
            <w:r w:rsidR="000505F6" w:rsidRPr="00630166">
              <w:rPr>
                <w:rStyle w:val="Hypertextovodkaz"/>
                <w:rFonts w:cs="Arial"/>
                <w:noProof/>
              </w:rPr>
              <w:t>Plánování rozpočtu</w:t>
            </w:r>
            <w:r w:rsidR="000505F6">
              <w:rPr>
                <w:noProof/>
                <w:webHidden/>
              </w:rPr>
              <w:tab/>
            </w:r>
            <w:r w:rsidR="000505F6">
              <w:rPr>
                <w:noProof/>
                <w:webHidden/>
              </w:rPr>
              <w:fldChar w:fldCharType="begin"/>
            </w:r>
            <w:r w:rsidR="000505F6">
              <w:rPr>
                <w:noProof/>
                <w:webHidden/>
              </w:rPr>
              <w:instrText xml:space="preserve"> PAGEREF _Toc120784692 \h </w:instrText>
            </w:r>
            <w:r w:rsidR="000505F6">
              <w:rPr>
                <w:noProof/>
                <w:webHidden/>
              </w:rPr>
            </w:r>
            <w:r w:rsidR="000505F6">
              <w:rPr>
                <w:noProof/>
                <w:webHidden/>
              </w:rPr>
              <w:fldChar w:fldCharType="separate"/>
            </w:r>
            <w:r w:rsidR="000505F6">
              <w:rPr>
                <w:noProof/>
                <w:webHidden/>
              </w:rPr>
              <w:t>22</w:t>
            </w:r>
            <w:r w:rsidR="000505F6">
              <w:rPr>
                <w:noProof/>
                <w:webHidden/>
              </w:rPr>
              <w:fldChar w:fldCharType="end"/>
            </w:r>
          </w:hyperlink>
        </w:p>
        <w:p w14:paraId="2F10F9F3" w14:textId="20CEA8B9" w:rsidR="000505F6" w:rsidRDefault="00DE73D7">
          <w:pPr>
            <w:pStyle w:val="Obsah2"/>
            <w:rPr>
              <w:rFonts w:asciiTheme="minorHAnsi" w:eastAsiaTheme="minorEastAsia" w:hAnsiTheme="minorHAnsi" w:cstheme="minorBidi"/>
              <w:noProof/>
              <w:sz w:val="22"/>
              <w:szCs w:val="22"/>
            </w:rPr>
          </w:pPr>
          <w:hyperlink w:anchor="_Toc120784693" w:history="1">
            <w:r w:rsidR="000505F6" w:rsidRPr="00630166">
              <w:rPr>
                <w:rStyle w:val="Hypertextovodkaz"/>
                <w:rFonts w:cs="Arial"/>
                <w:noProof/>
              </w:rPr>
              <w:t>3.6</w:t>
            </w:r>
            <w:r w:rsidR="000505F6">
              <w:rPr>
                <w:rFonts w:asciiTheme="minorHAnsi" w:eastAsiaTheme="minorEastAsia" w:hAnsiTheme="minorHAnsi" w:cstheme="minorBidi"/>
                <w:noProof/>
                <w:sz w:val="22"/>
                <w:szCs w:val="22"/>
              </w:rPr>
              <w:tab/>
            </w:r>
            <w:r w:rsidR="000505F6" w:rsidRPr="00630166">
              <w:rPr>
                <w:rStyle w:val="Hypertextovodkaz"/>
                <w:rFonts w:cs="Arial"/>
                <w:noProof/>
              </w:rPr>
              <w:t>Výběr dodavatele podle TCO</w:t>
            </w:r>
            <w:r w:rsidR="000505F6">
              <w:rPr>
                <w:noProof/>
                <w:webHidden/>
              </w:rPr>
              <w:tab/>
            </w:r>
            <w:r w:rsidR="000505F6">
              <w:rPr>
                <w:noProof/>
                <w:webHidden/>
              </w:rPr>
              <w:fldChar w:fldCharType="begin"/>
            </w:r>
            <w:r w:rsidR="000505F6">
              <w:rPr>
                <w:noProof/>
                <w:webHidden/>
              </w:rPr>
              <w:instrText xml:space="preserve"> PAGEREF _Toc120784693 \h </w:instrText>
            </w:r>
            <w:r w:rsidR="000505F6">
              <w:rPr>
                <w:noProof/>
                <w:webHidden/>
              </w:rPr>
            </w:r>
            <w:r w:rsidR="000505F6">
              <w:rPr>
                <w:noProof/>
                <w:webHidden/>
              </w:rPr>
              <w:fldChar w:fldCharType="separate"/>
            </w:r>
            <w:r w:rsidR="000505F6">
              <w:rPr>
                <w:noProof/>
                <w:webHidden/>
              </w:rPr>
              <w:t>23</w:t>
            </w:r>
            <w:r w:rsidR="000505F6">
              <w:rPr>
                <w:noProof/>
                <w:webHidden/>
              </w:rPr>
              <w:fldChar w:fldCharType="end"/>
            </w:r>
          </w:hyperlink>
        </w:p>
        <w:p w14:paraId="3951BB5D" w14:textId="4C2775B2" w:rsidR="000505F6" w:rsidRDefault="00DE73D7">
          <w:pPr>
            <w:pStyle w:val="Obsah2"/>
            <w:rPr>
              <w:rFonts w:asciiTheme="minorHAnsi" w:eastAsiaTheme="minorEastAsia" w:hAnsiTheme="minorHAnsi" w:cstheme="minorBidi"/>
              <w:noProof/>
              <w:sz w:val="22"/>
              <w:szCs w:val="22"/>
            </w:rPr>
          </w:pPr>
          <w:hyperlink w:anchor="_Toc120784694" w:history="1">
            <w:r w:rsidR="000505F6" w:rsidRPr="00630166">
              <w:rPr>
                <w:rStyle w:val="Hypertextovodkaz"/>
                <w:rFonts w:cs="Arial"/>
                <w:noProof/>
              </w:rPr>
              <w:t>3.7</w:t>
            </w:r>
            <w:r w:rsidR="000505F6">
              <w:rPr>
                <w:rFonts w:asciiTheme="minorHAnsi" w:eastAsiaTheme="minorEastAsia" w:hAnsiTheme="minorHAnsi" w:cstheme="minorBidi"/>
                <w:noProof/>
                <w:sz w:val="22"/>
                <w:szCs w:val="22"/>
              </w:rPr>
              <w:tab/>
            </w:r>
            <w:r w:rsidR="000505F6" w:rsidRPr="00630166">
              <w:rPr>
                <w:rStyle w:val="Hypertextovodkaz"/>
                <w:rFonts w:cs="Arial"/>
                <w:noProof/>
              </w:rPr>
              <w:t>Kalkulace ceny jednotky ICT produkce</w:t>
            </w:r>
            <w:r w:rsidR="000505F6">
              <w:rPr>
                <w:noProof/>
                <w:webHidden/>
              </w:rPr>
              <w:tab/>
            </w:r>
            <w:r w:rsidR="000505F6">
              <w:rPr>
                <w:noProof/>
                <w:webHidden/>
              </w:rPr>
              <w:fldChar w:fldCharType="begin"/>
            </w:r>
            <w:r w:rsidR="000505F6">
              <w:rPr>
                <w:noProof/>
                <w:webHidden/>
              </w:rPr>
              <w:instrText xml:space="preserve"> PAGEREF _Toc120784694 \h </w:instrText>
            </w:r>
            <w:r w:rsidR="000505F6">
              <w:rPr>
                <w:noProof/>
                <w:webHidden/>
              </w:rPr>
            </w:r>
            <w:r w:rsidR="000505F6">
              <w:rPr>
                <w:noProof/>
                <w:webHidden/>
              </w:rPr>
              <w:fldChar w:fldCharType="separate"/>
            </w:r>
            <w:r w:rsidR="000505F6">
              <w:rPr>
                <w:noProof/>
                <w:webHidden/>
              </w:rPr>
              <w:t>23</w:t>
            </w:r>
            <w:r w:rsidR="000505F6">
              <w:rPr>
                <w:noProof/>
                <w:webHidden/>
              </w:rPr>
              <w:fldChar w:fldCharType="end"/>
            </w:r>
          </w:hyperlink>
        </w:p>
        <w:p w14:paraId="0F8DC1B2" w14:textId="29446A74" w:rsidR="000505F6" w:rsidRDefault="00DE73D7">
          <w:pPr>
            <w:pStyle w:val="Obsah2"/>
            <w:rPr>
              <w:rFonts w:asciiTheme="minorHAnsi" w:eastAsiaTheme="minorEastAsia" w:hAnsiTheme="minorHAnsi" w:cstheme="minorBidi"/>
              <w:noProof/>
              <w:sz w:val="22"/>
              <w:szCs w:val="22"/>
            </w:rPr>
          </w:pPr>
          <w:hyperlink w:anchor="_Toc120784695" w:history="1">
            <w:r w:rsidR="000505F6" w:rsidRPr="00630166">
              <w:rPr>
                <w:rStyle w:val="Hypertextovodkaz"/>
                <w:rFonts w:cs="Arial"/>
                <w:noProof/>
              </w:rPr>
              <w:t>3.8</w:t>
            </w:r>
            <w:r w:rsidR="000505F6">
              <w:rPr>
                <w:rFonts w:asciiTheme="minorHAnsi" w:eastAsiaTheme="minorEastAsia" w:hAnsiTheme="minorHAnsi" w:cstheme="minorBidi"/>
                <w:noProof/>
                <w:sz w:val="22"/>
                <w:szCs w:val="22"/>
              </w:rPr>
              <w:tab/>
            </w:r>
            <w:r w:rsidR="000505F6" w:rsidRPr="00630166">
              <w:rPr>
                <w:rStyle w:val="Hypertextovodkaz"/>
                <w:rFonts w:cs="Arial"/>
                <w:noProof/>
              </w:rPr>
              <w:t>Plánování kapacit jednotlivých rolí v ICT útvarech</w:t>
            </w:r>
            <w:r w:rsidR="000505F6">
              <w:rPr>
                <w:noProof/>
                <w:webHidden/>
              </w:rPr>
              <w:tab/>
            </w:r>
            <w:r w:rsidR="000505F6">
              <w:rPr>
                <w:noProof/>
                <w:webHidden/>
              </w:rPr>
              <w:fldChar w:fldCharType="begin"/>
            </w:r>
            <w:r w:rsidR="000505F6">
              <w:rPr>
                <w:noProof/>
                <w:webHidden/>
              </w:rPr>
              <w:instrText xml:space="preserve"> PAGEREF _Toc120784695 \h </w:instrText>
            </w:r>
            <w:r w:rsidR="000505F6">
              <w:rPr>
                <w:noProof/>
                <w:webHidden/>
              </w:rPr>
            </w:r>
            <w:r w:rsidR="000505F6">
              <w:rPr>
                <w:noProof/>
                <w:webHidden/>
              </w:rPr>
              <w:fldChar w:fldCharType="separate"/>
            </w:r>
            <w:r w:rsidR="000505F6">
              <w:rPr>
                <w:noProof/>
                <w:webHidden/>
              </w:rPr>
              <w:t>24</w:t>
            </w:r>
            <w:r w:rsidR="000505F6">
              <w:rPr>
                <w:noProof/>
                <w:webHidden/>
              </w:rPr>
              <w:fldChar w:fldCharType="end"/>
            </w:r>
          </w:hyperlink>
        </w:p>
        <w:p w14:paraId="4C4C7426" w14:textId="49713946" w:rsidR="000505F6" w:rsidRDefault="00DE73D7">
          <w:pPr>
            <w:pStyle w:val="Obsah2"/>
            <w:rPr>
              <w:rFonts w:asciiTheme="minorHAnsi" w:eastAsiaTheme="minorEastAsia" w:hAnsiTheme="minorHAnsi" w:cstheme="minorBidi"/>
              <w:noProof/>
              <w:sz w:val="22"/>
              <w:szCs w:val="22"/>
            </w:rPr>
          </w:pPr>
          <w:hyperlink w:anchor="_Toc120784696" w:history="1">
            <w:r w:rsidR="000505F6" w:rsidRPr="00630166">
              <w:rPr>
                <w:rStyle w:val="Hypertextovodkaz"/>
                <w:rFonts w:cs="Arial"/>
                <w:noProof/>
              </w:rPr>
              <w:t>3.9</w:t>
            </w:r>
            <w:r w:rsidR="000505F6">
              <w:rPr>
                <w:rFonts w:asciiTheme="minorHAnsi" w:eastAsiaTheme="minorEastAsia" w:hAnsiTheme="minorHAnsi" w:cstheme="minorBidi"/>
                <w:noProof/>
                <w:sz w:val="22"/>
                <w:szCs w:val="22"/>
              </w:rPr>
              <w:tab/>
            </w:r>
            <w:r w:rsidR="000505F6" w:rsidRPr="00630166">
              <w:rPr>
                <w:rStyle w:val="Hypertextovodkaz"/>
                <w:rFonts w:cs="Arial"/>
                <w:noProof/>
              </w:rPr>
              <w:t>Posouzení výhodnosti ISVS (investiční záměr, BC, CBA, Public-ROI)</w:t>
            </w:r>
            <w:r w:rsidR="000505F6">
              <w:rPr>
                <w:noProof/>
                <w:webHidden/>
              </w:rPr>
              <w:tab/>
            </w:r>
            <w:r w:rsidR="000505F6">
              <w:rPr>
                <w:noProof/>
                <w:webHidden/>
              </w:rPr>
              <w:fldChar w:fldCharType="begin"/>
            </w:r>
            <w:r w:rsidR="000505F6">
              <w:rPr>
                <w:noProof/>
                <w:webHidden/>
              </w:rPr>
              <w:instrText xml:space="preserve"> PAGEREF _Toc120784696 \h </w:instrText>
            </w:r>
            <w:r w:rsidR="000505F6">
              <w:rPr>
                <w:noProof/>
                <w:webHidden/>
              </w:rPr>
            </w:r>
            <w:r w:rsidR="000505F6">
              <w:rPr>
                <w:noProof/>
                <w:webHidden/>
              </w:rPr>
              <w:fldChar w:fldCharType="separate"/>
            </w:r>
            <w:r w:rsidR="000505F6">
              <w:rPr>
                <w:noProof/>
                <w:webHidden/>
              </w:rPr>
              <w:t>24</w:t>
            </w:r>
            <w:r w:rsidR="000505F6">
              <w:rPr>
                <w:noProof/>
                <w:webHidden/>
              </w:rPr>
              <w:fldChar w:fldCharType="end"/>
            </w:r>
          </w:hyperlink>
        </w:p>
        <w:p w14:paraId="2C10AF45" w14:textId="44231589" w:rsidR="000505F6" w:rsidRDefault="00DE73D7">
          <w:pPr>
            <w:pStyle w:val="Obsah3"/>
            <w:rPr>
              <w:rFonts w:asciiTheme="minorHAnsi" w:eastAsiaTheme="minorEastAsia" w:hAnsiTheme="minorHAnsi" w:cstheme="minorBidi"/>
              <w:noProof/>
              <w:sz w:val="22"/>
              <w:szCs w:val="22"/>
            </w:rPr>
          </w:pPr>
          <w:hyperlink w:anchor="_Toc120784697" w:history="1">
            <w:r w:rsidR="000505F6" w:rsidRPr="00630166">
              <w:rPr>
                <w:rStyle w:val="Hypertextovodkaz"/>
                <w:noProof/>
              </w:rPr>
              <w:t>3.9.1</w:t>
            </w:r>
            <w:r w:rsidR="000505F6">
              <w:rPr>
                <w:rFonts w:asciiTheme="minorHAnsi" w:eastAsiaTheme="minorEastAsia" w:hAnsiTheme="minorHAnsi" w:cstheme="minorBidi"/>
                <w:noProof/>
                <w:sz w:val="22"/>
                <w:szCs w:val="22"/>
              </w:rPr>
              <w:tab/>
            </w:r>
            <w:r w:rsidR="000505F6" w:rsidRPr="00630166">
              <w:rPr>
                <w:rStyle w:val="Hypertextovodkaz"/>
                <w:noProof/>
              </w:rPr>
              <w:t>Posouzení návratnosti digitalizace služeb výkonu veřejné správy</w:t>
            </w:r>
            <w:r w:rsidR="000505F6">
              <w:rPr>
                <w:noProof/>
                <w:webHidden/>
              </w:rPr>
              <w:tab/>
            </w:r>
            <w:r w:rsidR="000505F6">
              <w:rPr>
                <w:noProof/>
                <w:webHidden/>
              </w:rPr>
              <w:fldChar w:fldCharType="begin"/>
            </w:r>
            <w:r w:rsidR="000505F6">
              <w:rPr>
                <w:noProof/>
                <w:webHidden/>
              </w:rPr>
              <w:instrText xml:space="preserve"> PAGEREF _Toc120784697 \h </w:instrText>
            </w:r>
            <w:r w:rsidR="000505F6">
              <w:rPr>
                <w:noProof/>
                <w:webHidden/>
              </w:rPr>
            </w:r>
            <w:r w:rsidR="000505F6">
              <w:rPr>
                <w:noProof/>
                <w:webHidden/>
              </w:rPr>
              <w:fldChar w:fldCharType="separate"/>
            </w:r>
            <w:r w:rsidR="000505F6">
              <w:rPr>
                <w:noProof/>
                <w:webHidden/>
              </w:rPr>
              <w:t>24</w:t>
            </w:r>
            <w:r w:rsidR="000505F6">
              <w:rPr>
                <w:noProof/>
                <w:webHidden/>
              </w:rPr>
              <w:fldChar w:fldCharType="end"/>
            </w:r>
          </w:hyperlink>
        </w:p>
        <w:p w14:paraId="1720BF43" w14:textId="1F6E6636" w:rsidR="000505F6" w:rsidRDefault="00DE73D7">
          <w:pPr>
            <w:pStyle w:val="Obsah1"/>
            <w:rPr>
              <w:rFonts w:asciiTheme="minorHAnsi" w:eastAsiaTheme="minorEastAsia" w:hAnsiTheme="minorHAnsi" w:cstheme="minorBidi"/>
              <w:b w:val="0"/>
              <w:noProof/>
              <w:sz w:val="22"/>
              <w:szCs w:val="22"/>
            </w:rPr>
          </w:pPr>
          <w:hyperlink w:anchor="_Toc120784698" w:history="1">
            <w:r w:rsidR="000505F6" w:rsidRPr="00630166">
              <w:rPr>
                <w:rStyle w:val="Hypertextovodkaz"/>
                <w:rFonts w:cs="Arial"/>
                <w:noProof/>
              </w:rPr>
              <w:t>4.</w:t>
            </w:r>
            <w:r w:rsidR="000505F6">
              <w:rPr>
                <w:rFonts w:asciiTheme="minorHAnsi" w:eastAsiaTheme="minorEastAsia" w:hAnsiTheme="minorHAnsi" w:cstheme="minorBidi"/>
                <w:b w:val="0"/>
                <w:noProof/>
                <w:sz w:val="22"/>
                <w:szCs w:val="22"/>
              </w:rPr>
              <w:tab/>
            </w:r>
            <w:r w:rsidR="000505F6" w:rsidRPr="00630166">
              <w:rPr>
                <w:rStyle w:val="Hypertextovodkaz"/>
                <w:rFonts w:cs="Arial"/>
                <w:noProof/>
              </w:rPr>
              <w:t>Seznam zkratek</w:t>
            </w:r>
            <w:r w:rsidR="000505F6">
              <w:rPr>
                <w:noProof/>
                <w:webHidden/>
              </w:rPr>
              <w:tab/>
            </w:r>
            <w:r w:rsidR="000505F6">
              <w:rPr>
                <w:noProof/>
                <w:webHidden/>
              </w:rPr>
              <w:fldChar w:fldCharType="begin"/>
            </w:r>
            <w:r w:rsidR="000505F6">
              <w:rPr>
                <w:noProof/>
                <w:webHidden/>
              </w:rPr>
              <w:instrText xml:space="preserve"> PAGEREF _Toc120784698 \h </w:instrText>
            </w:r>
            <w:r w:rsidR="000505F6">
              <w:rPr>
                <w:noProof/>
                <w:webHidden/>
              </w:rPr>
            </w:r>
            <w:r w:rsidR="000505F6">
              <w:rPr>
                <w:noProof/>
                <w:webHidden/>
              </w:rPr>
              <w:fldChar w:fldCharType="separate"/>
            </w:r>
            <w:r w:rsidR="000505F6">
              <w:rPr>
                <w:noProof/>
                <w:webHidden/>
              </w:rPr>
              <w:t>26</w:t>
            </w:r>
            <w:r w:rsidR="000505F6">
              <w:rPr>
                <w:noProof/>
                <w:webHidden/>
              </w:rPr>
              <w:fldChar w:fldCharType="end"/>
            </w:r>
          </w:hyperlink>
        </w:p>
        <w:p w14:paraId="5E5634F8" w14:textId="1CCB53B3" w:rsidR="000505F6" w:rsidRDefault="00DE73D7">
          <w:pPr>
            <w:pStyle w:val="Obsah1"/>
            <w:rPr>
              <w:rFonts w:asciiTheme="minorHAnsi" w:eastAsiaTheme="minorEastAsia" w:hAnsiTheme="minorHAnsi" w:cstheme="minorBidi"/>
              <w:b w:val="0"/>
              <w:noProof/>
              <w:sz w:val="22"/>
              <w:szCs w:val="22"/>
            </w:rPr>
          </w:pPr>
          <w:hyperlink w:anchor="_Toc120784699" w:history="1">
            <w:r w:rsidR="000505F6" w:rsidRPr="00630166">
              <w:rPr>
                <w:rStyle w:val="Hypertextovodkaz"/>
                <w:rFonts w:cs="Arial"/>
                <w:noProof/>
              </w:rPr>
              <w:t>5.</w:t>
            </w:r>
            <w:r w:rsidR="000505F6">
              <w:rPr>
                <w:rFonts w:asciiTheme="minorHAnsi" w:eastAsiaTheme="minorEastAsia" w:hAnsiTheme="minorHAnsi" w:cstheme="minorBidi"/>
                <w:b w:val="0"/>
                <w:noProof/>
                <w:sz w:val="22"/>
                <w:szCs w:val="22"/>
              </w:rPr>
              <w:tab/>
            </w:r>
            <w:r w:rsidR="000505F6" w:rsidRPr="00630166">
              <w:rPr>
                <w:rStyle w:val="Hypertextovodkaz"/>
                <w:rFonts w:cs="Arial"/>
                <w:noProof/>
              </w:rPr>
              <w:t>Přílohy</w:t>
            </w:r>
            <w:r w:rsidR="000505F6">
              <w:rPr>
                <w:noProof/>
                <w:webHidden/>
              </w:rPr>
              <w:tab/>
            </w:r>
            <w:r w:rsidR="000505F6">
              <w:rPr>
                <w:noProof/>
                <w:webHidden/>
              </w:rPr>
              <w:fldChar w:fldCharType="begin"/>
            </w:r>
            <w:r w:rsidR="000505F6">
              <w:rPr>
                <w:noProof/>
                <w:webHidden/>
              </w:rPr>
              <w:instrText xml:space="preserve"> PAGEREF _Toc120784699 \h </w:instrText>
            </w:r>
            <w:r w:rsidR="000505F6">
              <w:rPr>
                <w:noProof/>
                <w:webHidden/>
              </w:rPr>
            </w:r>
            <w:r w:rsidR="000505F6">
              <w:rPr>
                <w:noProof/>
                <w:webHidden/>
              </w:rPr>
              <w:fldChar w:fldCharType="separate"/>
            </w:r>
            <w:r w:rsidR="000505F6">
              <w:rPr>
                <w:noProof/>
                <w:webHidden/>
              </w:rPr>
              <w:t>27</w:t>
            </w:r>
            <w:r w:rsidR="000505F6">
              <w:rPr>
                <w:noProof/>
                <w:webHidden/>
              </w:rPr>
              <w:fldChar w:fldCharType="end"/>
            </w:r>
          </w:hyperlink>
        </w:p>
        <w:p w14:paraId="2C3B00CF" w14:textId="3EB090C7" w:rsidR="000505F6" w:rsidRDefault="00DE73D7">
          <w:pPr>
            <w:pStyle w:val="Obsah2"/>
            <w:rPr>
              <w:rFonts w:asciiTheme="minorHAnsi" w:eastAsiaTheme="minorEastAsia" w:hAnsiTheme="minorHAnsi" w:cstheme="minorBidi"/>
              <w:noProof/>
              <w:sz w:val="22"/>
              <w:szCs w:val="22"/>
            </w:rPr>
          </w:pPr>
          <w:hyperlink w:anchor="_Toc120784700" w:history="1">
            <w:r w:rsidR="000505F6" w:rsidRPr="00630166">
              <w:rPr>
                <w:rStyle w:val="Hypertextovodkaz"/>
                <w:rFonts w:cs="Arial"/>
                <w:noProof/>
              </w:rPr>
              <w:t>5.1</w:t>
            </w:r>
            <w:r w:rsidR="000505F6">
              <w:rPr>
                <w:rFonts w:asciiTheme="minorHAnsi" w:eastAsiaTheme="minorEastAsia" w:hAnsiTheme="minorHAnsi" w:cstheme="minorBidi"/>
                <w:noProof/>
                <w:sz w:val="22"/>
                <w:szCs w:val="22"/>
              </w:rPr>
              <w:tab/>
            </w:r>
            <w:r w:rsidR="000505F6" w:rsidRPr="00630166">
              <w:rPr>
                <w:rStyle w:val="Hypertextovodkaz"/>
                <w:rFonts w:cs="Arial"/>
                <w:noProof/>
              </w:rPr>
              <w:t>Příloha 1: Úplná struktura nákladového modelu</w:t>
            </w:r>
            <w:r w:rsidR="000505F6">
              <w:rPr>
                <w:noProof/>
                <w:webHidden/>
              </w:rPr>
              <w:tab/>
            </w:r>
            <w:r w:rsidR="000505F6">
              <w:rPr>
                <w:noProof/>
                <w:webHidden/>
              </w:rPr>
              <w:fldChar w:fldCharType="begin"/>
            </w:r>
            <w:r w:rsidR="000505F6">
              <w:rPr>
                <w:noProof/>
                <w:webHidden/>
              </w:rPr>
              <w:instrText xml:space="preserve"> PAGEREF _Toc120784700 \h </w:instrText>
            </w:r>
            <w:r w:rsidR="000505F6">
              <w:rPr>
                <w:noProof/>
                <w:webHidden/>
              </w:rPr>
            </w:r>
            <w:r w:rsidR="000505F6">
              <w:rPr>
                <w:noProof/>
                <w:webHidden/>
              </w:rPr>
              <w:fldChar w:fldCharType="separate"/>
            </w:r>
            <w:r w:rsidR="000505F6">
              <w:rPr>
                <w:noProof/>
                <w:webHidden/>
              </w:rPr>
              <w:t>27</w:t>
            </w:r>
            <w:r w:rsidR="000505F6">
              <w:rPr>
                <w:noProof/>
                <w:webHidden/>
              </w:rPr>
              <w:fldChar w:fldCharType="end"/>
            </w:r>
          </w:hyperlink>
        </w:p>
        <w:p w14:paraId="6E9AE28F" w14:textId="1F37F3E1" w:rsidR="000505F6" w:rsidRDefault="00DE73D7">
          <w:pPr>
            <w:pStyle w:val="Obsah2"/>
            <w:rPr>
              <w:rFonts w:asciiTheme="minorHAnsi" w:eastAsiaTheme="minorEastAsia" w:hAnsiTheme="minorHAnsi" w:cstheme="minorBidi"/>
              <w:noProof/>
              <w:sz w:val="22"/>
              <w:szCs w:val="22"/>
            </w:rPr>
          </w:pPr>
          <w:hyperlink w:anchor="_Toc120784701" w:history="1">
            <w:r w:rsidR="000505F6" w:rsidRPr="00630166">
              <w:rPr>
                <w:rStyle w:val="Hypertextovodkaz"/>
                <w:rFonts w:cs="Arial"/>
                <w:noProof/>
              </w:rPr>
              <w:t>5.2</w:t>
            </w:r>
            <w:r w:rsidR="000505F6">
              <w:rPr>
                <w:rFonts w:asciiTheme="minorHAnsi" w:eastAsiaTheme="minorEastAsia" w:hAnsiTheme="minorHAnsi" w:cstheme="minorBidi"/>
                <w:noProof/>
                <w:sz w:val="22"/>
                <w:szCs w:val="22"/>
              </w:rPr>
              <w:tab/>
            </w:r>
            <w:r w:rsidR="000505F6" w:rsidRPr="00630166">
              <w:rPr>
                <w:rStyle w:val="Hypertextovodkaz"/>
                <w:rFonts w:cs="Arial"/>
                <w:noProof/>
              </w:rPr>
              <w:t>Příloha 2: Samostatné tabulkové kalkulátory TCO ISVS</w:t>
            </w:r>
            <w:r w:rsidR="000505F6">
              <w:rPr>
                <w:noProof/>
                <w:webHidden/>
              </w:rPr>
              <w:tab/>
            </w:r>
            <w:r w:rsidR="000505F6">
              <w:rPr>
                <w:noProof/>
                <w:webHidden/>
              </w:rPr>
              <w:fldChar w:fldCharType="begin"/>
            </w:r>
            <w:r w:rsidR="000505F6">
              <w:rPr>
                <w:noProof/>
                <w:webHidden/>
              </w:rPr>
              <w:instrText xml:space="preserve"> PAGEREF _Toc120784701 \h </w:instrText>
            </w:r>
            <w:r w:rsidR="000505F6">
              <w:rPr>
                <w:noProof/>
                <w:webHidden/>
              </w:rPr>
            </w:r>
            <w:r w:rsidR="000505F6">
              <w:rPr>
                <w:noProof/>
                <w:webHidden/>
              </w:rPr>
              <w:fldChar w:fldCharType="separate"/>
            </w:r>
            <w:r w:rsidR="000505F6">
              <w:rPr>
                <w:noProof/>
                <w:webHidden/>
              </w:rPr>
              <w:t>31</w:t>
            </w:r>
            <w:r w:rsidR="000505F6">
              <w:rPr>
                <w:noProof/>
                <w:webHidden/>
              </w:rPr>
              <w:fldChar w:fldCharType="end"/>
            </w:r>
          </w:hyperlink>
        </w:p>
        <w:p w14:paraId="46F26E3A" w14:textId="378F54DB" w:rsidR="000505F6" w:rsidRDefault="00DE73D7">
          <w:pPr>
            <w:pStyle w:val="Obsah3"/>
            <w:rPr>
              <w:rFonts w:asciiTheme="minorHAnsi" w:eastAsiaTheme="minorEastAsia" w:hAnsiTheme="minorHAnsi" w:cstheme="minorBidi"/>
              <w:noProof/>
              <w:sz w:val="22"/>
              <w:szCs w:val="22"/>
            </w:rPr>
          </w:pPr>
          <w:hyperlink w:anchor="_Toc120784702" w:history="1">
            <w:r w:rsidR="000505F6" w:rsidRPr="00630166">
              <w:rPr>
                <w:rStyle w:val="Hypertextovodkaz"/>
                <w:rFonts w:cs="Arial"/>
                <w:noProof/>
              </w:rPr>
              <w:t>5.2.1</w:t>
            </w:r>
            <w:r w:rsidR="000505F6">
              <w:rPr>
                <w:rFonts w:asciiTheme="minorHAnsi" w:eastAsiaTheme="minorEastAsia" w:hAnsiTheme="minorHAnsi" w:cstheme="minorBidi"/>
                <w:noProof/>
                <w:sz w:val="22"/>
                <w:szCs w:val="22"/>
              </w:rPr>
              <w:tab/>
            </w:r>
            <w:r w:rsidR="000505F6" w:rsidRPr="00630166">
              <w:rPr>
                <w:rStyle w:val="Hypertextovodkaz"/>
                <w:rFonts w:cs="Arial"/>
                <w:noProof/>
              </w:rPr>
              <w:t>Kalkulator  on-premise</w:t>
            </w:r>
            <w:r w:rsidR="000505F6">
              <w:rPr>
                <w:noProof/>
                <w:webHidden/>
              </w:rPr>
              <w:tab/>
            </w:r>
            <w:r w:rsidR="000505F6">
              <w:rPr>
                <w:noProof/>
                <w:webHidden/>
              </w:rPr>
              <w:fldChar w:fldCharType="begin"/>
            </w:r>
            <w:r w:rsidR="000505F6">
              <w:rPr>
                <w:noProof/>
                <w:webHidden/>
              </w:rPr>
              <w:instrText xml:space="preserve"> PAGEREF _Toc120784702 \h </w:instrText>
            </w:r>
            <w:r w:rsidR="000505F6">
              <w:rPr>
                <w:noProof/>
                <w:webHidden/>
              </w:rPr>
            </w:r>
            <w:r w:rsidR="000505F6">
              <w:rPr>
                <w:noProof/>
                <w:webHidden/>
              </w:rPr>
              <w:fldChar w:fldCharType="separate"/>
            </w:r>
            <w:r w:rsidR="000505F6">
              <w:rPr>
                <w:noProof/>
                <w:webHidden/>
              </w:rPr>
              <w:t>31</w:t>
            </w:r>
            <w:r w:rsidR="000505F6">
              <w:rPr>
                <w:noProof/>
                <w:webHidden/>
              </w:rPr>
              <w:fldChar w:fldCharType="end"/>
            </w:r>
          </w:hyperlink>
        </w:p>
        <w:p w14:paraId="5D7B7EA9" w14:textId="3614230E" w:rsidR="000505F6" w:rsidRDefault="00DE73D7">
          <w:pPr>
            <w:pStyle w:val="Obsah3"/>
            <w:rPr>
              <w:rFonts w:asciiTheme="minorHAnsi" w:eastAsiaTheme="minorEastAsia" w:hAnsiTheme="minorHAnsi" w:cstheme="minorBidi"/>
              <w:noProof/>
              <w:sz w:val="22"/>
              <w:szCs w:val="22"/>
            </w:rPr>
          </w:pPr>
          <w:hyperlink w:anchor="_Toc120784703" w:history="1">
            <w:r w:rsidR="000505F6" w:rsidRPr="00630166">
              <w:rPr>
                <w:rStyle w:val="Hypertextovodkaz"/>
                <w:rFonts w:cs="Arial"/>
                <w:noProof/>
              </w:rPr>
              <w:t>5.2.2</w:t>
            </w:r>
            <w:r w:rsidR="000505F6">
              <w:rPr>
                <w:rFonts w:asciiTheme="minorHAnsi" w:eastAsiaTheme="minorEastAsia" w:hAnsiTheme="minorHAnsi" w:cstheme="minorBidi"/>
                <w:noProof/>
                <w:sz w:val="22"/>
                <w:szCs w:val="22"/>
              </w:rPr>
              <w:tab/>
            </w:r>
            <w:r w:rsidR="000505F6" w:rsidRPr="00630166">
              <w:rPr>
                <w:rStyle w:val="Hypertextovodkaz"/>
                <w:rFonts w:cs="Arial"/>
                <w:noProof/>
              </w:rPr>
              <w:t>Kalkulator  cloud</w:t>
            </w:r>
            <w:r w:rsidR="000505F6">
              <w:rPr>
                <w:noProof/>
                <w:webHidden/>
              </w:rPr>
              <w:tab/>
            </w:r>
            <w:r w:rsidR="000505F6">
              <w:rPr>
                <w:noProof/>
                <w:webHidden/>
              </w:rPr>
              <w:fldChar w:fldCharType="begin"/>
            </w:r>
            <w:r w:rsidR="000505F6">
              <w:rPr>
                <w:noProof/>
                <w:webHidden/>
              </w:rPr>
              <w:instrText xml:space="preserve"> PAGEREF _Toc120784703 \h </w:instrText>
            </w:r>
            <w:r w:rsidR="000505F6">
              <w:rPr>
                <w:noProof/>
                <w:webHidden/>
              </w:rPr>
            </w:r>
            <w:r w:rsidR="000505F6">
              <w:rPr>
                <w:noProof/>
                <w:webHidden/>
              </w:rPr>
              <w:fldChar w:fldCharType="separate"/>
            </w:r>
            <w:r w:rsidR="000505F6">
              <w:rPr>
                <w:noProof/>
                <w:webHidden/>
              </w:rPr>
              <w:t>31</w:t>
            </w:r>
            <w:r w:rsidR="000505F6">
              <w:rPr>
                <w:noProof/>
                <w:webHidden/>
              </w:rPr>
              <w:fldChar w:fldCharType="end"/>
            </w:r>
          </w:hyperlink>
        </w:p>
        <w:p w14:paraId="65B70032" w14:textId="0082811A" w:rsidR="000505F6" w:rsidRDefault="00DE73D7">
          <w:pPr>
            <w:pStyle w:val="Obsah3"/>
            <w:rPr>
              <w:rFonts w:asciiTheme="minorHAnsi" w:eastAsiaTheme="minorEastAsia" w:hAnsiTheme="minorHAnsi" w:cstheme="minorBidi"/>
              <w:noProof/>
              <w:sz w:val="22"/>
              <w:szCs w:val="22"/>
            </w:rPr>
          </w:pPr>
          <w:hyperlink w:anchor="_Toc120784704" w:history="1">
            <w:r w:rsidR="000505F6" w:rsidRPr="00630166">
              <w:rPr>
                <w:rStyle w:val="Hypertextovodkaz"/>
                <w:rFonts w:cs="Arial"/>
                <w:noProof/>
              </w:rPr>
              <w:t>5.2.3</w:t>
            </w:r>
            <w:r w:rsidR="000505F6">
              <w:rPr>
                <w:rFonts w:asciiTheme="minorHAnsi" w:eastAsiaTheme="minorEastAsia" w:hAnsiTheme="minorHAnsi" w:cstheme="minorBidi"/>
                <w:noProof/>
                <w:sz w:val="22"/>
                <w:szCs w:val="22"/>
              </w:rPr>
              <w:tab/>
            </w:r>
            <w:r w:rsidR="000505F6" w:rsidRPr="00630166">
              <w:rPr>
                <w:rStyle w:val="Hypertextovodkaz"/>
                <w:rFonts w:cs="Arial"/>
                <w:noProof/>
              </w:rPr>
              <w:t>Kalkulator  on-premise vers. cloud</w:t>
            </w:r>
            <w:r w:rsidR="000505F6">
              <w:rPr>
                <w:noProof/>
                <w:webHidden/>
              </w:rPr>
              <w:tab/>
            </w:r>
            <w:r w:rsidR="000505F6">
              <w:rPr>
                <w:noProof/>
                <w:webHidden/>
              </w:rPr>
              <w:fldChar w:fldCharType="begin"/>
            </w:r>
            <w:r w:rsidR="000505F6">
              <w:rPr>
                <w:noProof/>
                <w:webHidden/>
              </w:rPr>
              <w:instrText xml:space="preserve"> PAGEREF _Toc120784704 \h </w:instrText>
            </w:r>
            <w:r w:rsidR="000505F6">
              <w:rPr>
                <w:noProof/>
                <w:webHidden/>
              </w:rPr>
            </w:r>
            <w:r w:rsidR="000505F6">
              <w:rPr>
                <w:noProof/>
                <w:webHidden/>
              </w:rPr>
              <w:fldChar w:fldCharType="separate"/>
            </w:r>
            <w:r w:rsidR="000505F6">
              <w:rPr>
                <w:noProof/>
                <w:webHidden/>
              </w:rPr>
              <w:t>31</w:t>
            </w:r>
            <w:r w:rsidR="000505F6">
              <w:rPr>
                <w:noProof/>
                <w:webHidden/>
              </w:rPr>
              <w:fldChar w:fldCharType="end"/>
            </w:r>
          </w:hyperlink>
        </w:p>
        <w:p w14:paraId="388F6019" w14:textId="09780021" w:rsidR="000505F6" w:rsidRDefault="00DE73D7">
          <w:pPr>
            <w:pStyle w:val="Obsah2"/>
            <w:rPr>
              <w:rFonts w:asciiTheme="minorHAnsi" w:eastAsiaTheme="minorEastAsia" w:hAnsiTheme="minorHAnsi" w:cstheme="minorBidi"/>
              <w:noProof/>
              <w:sz w:val="22"/>
              <w:szCs w:val="22"/>
            </w:rPr>
          </w:pPr>
          <w:hyperlink w:anchor="_Toc120784705" w:history="1">
            <w:r w:rsidR="000505F6" w:rsidRPr="00630166">
              <w:rPr>
                <w:rStyle w:val="Hypertextovodkaz"/>
                <w:noProof/>
              </w:rPr>
              <w:t>5.3</w:t>
            </w:r>
            <w:r w:rsidR="000505F6">
              <w:rPr>
                <w:rFonts w:asciiTheme="minorHAnsi" w:eastAsiaTheme="minorEastAsia" w:hAnsiTheme="minorHAnsi" w:cstheme="minorBidi"/>
                <w:noProof/>
                <w:sz w:val="22"/>
                <w:szCs w:val="22"/>
              </w:rPr>
              <w:tab/>
            </w:r>
            <w:r w:rsidR="000505F6" w:rsidRPr="00630166">
              <w:rPr>
                <w:rStyle w:val="Hypertextovodkaz"/>
                <w:noProof/>
              </w:rPr>
              <w:t>Příloha 3: Výtah z prováděcí vyhlášky</w:t>
            </w:r>
            <w:r w:rsidR="000505F6">
              <w:rPr>
                <w:noProof/>
                <w:webHidden/>
              </w:rPr>
              <w:tab/>
            </w:r>
            <w:r w:rsidR="000505F6">
              <w:rPr>
                <w:noProof/>
                <w:webHidden/>
              </w:rPr>
              <w:fldChar w:fldCharType="begin"/>
            </w:r>
            <w:r w:rsidR="000505F6">
              <w:rPr>
                <w:noProof/>
                <w:webHidden/>
              </w:rPr>
              <w:instrText xml:space="preserve"> PAGEREF _Toc120784705 \h </w:instrText>
            </w:r>
            <w:r w:rsidR="000505F6">
              <w:rPr>
                <w:noProof/>
                <w:webHidden/>
              </w:rPr>
            </w:r>
            <w:r w:rsidR="000505F6">
              <w:rPr>
                <w:noProof/>
                <w:webHidden/>
              </w:rPr>
              <w:fldChar w:fldCharType="separate"/>
            </w:r>
            <w:r w:rsidR="000505F6">
              <w:rPr>
                <w:noProof/>
                <w:webHidden/>
              </w:rPr>
              <w:t>31</w:t>
            </w:r>
            <w:r w:rsidR="000505F6">
              <w:rPr>
                <w:noProof/>
                <w:webHidden/>
              </w:rPr>
              <w:fldChar w:fldCharType="end"/>
            </w:r>
          </w:hyperlink>
        </w:p>
        <w:p w14:paraId="67691F4B" w14:textId="73882553" w:rsidR="00760979" w:rsidRDefault="00760979">
          <w:r>
            <w:rPr>
              <w:b/>
              <w:bCs/>
            </w:rPr>
            <w:fldChar w:fldCharType="end"/>
          </w:r>
        </w:p>
      </w:sdtContent>
    </w:sdt>
    <w:p w14:paraId="5A798860" w14:textId="7E4CD976" w:rsidR="0086358A" w:rsidRPr="004E2B72" w:rsidRDefault="006739A5" w:rsidP="00073E78">
      <w:pPr>
        <w:pStyle w:val="Nadpis1"/>
        <w:jc w:val="both"/>
        <w:rPr>
          <w:rFonts w:cs="Arial"/>
        </w:rPr>
      </w:pPr>
      <w:bookmarkStart w:id="1" w:name="_Toc120784659"/>
      <w:r w:rsidRPr="004E2B72">
        <w:rPr>
          <w:rFonts w:cs="Arial"/>
        </w:rPr>
        <w:t xml:space="preserve">Cíle </w:t>
      </w:r>
      <w:r w:rsidR="00F16F8A" w:rsidRPr="004E2B72">
        <w:rPr>
          <w:rFonts w:cs="Arial"/>
        </w:rPr>
        <w:t>metodiky</w:t>
      </w:r>
      <w:bookmarkEnd w:id="1"/>
    </w:p>
    <w:p w14:paraId="546B365D" w14:textId="57FFD0C3" w:rsidR="00F16F8A" w:rsidRPr="004E2B72" w:rsidRDefault="00F16F8A" w:rsidP="00073E78">
      <w:pPr>
        <w:pStyle w:val="Zkladntext"/>
        <w:jc w:val="both"/>
        <w:rPr>
          <w:rFonts w:cs="Arial"/>
        </w:rPr>
      </w:pPr>
      <w:r w:rsidRPr="004E2B72">
        <w:rPr>
          <w:rFonts w:cs="Arial"/>
          <w:b/>
        </w:rPr>
        <w:t>Cílem metodiky je standardizovat</w:t>
      </w:r>
      <w:r w:rsidR="005C415B" w:rsidRPr="004E2B72">
        <w:rPr>
          <w:rFonts w:cs="Arial"/>
          <w:b/>
        </w:rPr>
        <w:t xml:space="preserve"> způsob výpočtu </w:t>
      </w:r>
      <w:r w:rsidR="00032C04">
        <w:rPr>
          <w:rFonts w:cs="Arial"/>
          <w:b/>
        </w:rPr>
        <w:t xml:space="preserve">a vyhodnocení </w:t>
      </w:r>
      <w:r w:rsidRPr="004E2B72">
        <w:rPr>
          <w:rFonts w:cs="Arial"/>
          <w:b/>
        </w:rPr>
        <w:t>celkových nákladů vlastnictví informačního systému veřejné správy (</w:t>
      </w:r>
      <w:r w:rsidR="005C415B" w:rsidRPr="004E2B72">
        <w:rPr>
          <w:rFonts w:cs="Arial"/>
          <w:b/>
        </w:rPr>
        <w:t xml:space="preserve">TCO </w:t>
      </w:r>
      <w:r w:rsidRPr="004E2B72">
        <w:rPr>
          <w:rFonts w:cs="Arial"/>
          <w:b/>
        </w:rPr>
        <w:t>IS</w:t>
      </w:r>
      <w:r w:rsidR="005C415B" w:rsidRPr="004E2B72">
        <w:rPr>
          <w:rFonts w:cs="Arial"/>
          <w:b/>
        </w:rPr>
        <w:t>VS</w:t>
      </w:r>
      <w:r w:rsidRPr="004E2B72">
        <w:rPr>
          <w:rFonts w:cs="Arial"/>
          <w:b/>
        </w:rPr>
        <w:t>)</w:t>
      </w:r>
      <w:r w:rsidR="005C415B" w:rsidRPr="004E2B72">
        <w:rPr>
          <w:rFonts w:cs="Arial"/>
          <w:b/>
        </w:rPr>
        <w:t xml:space="preserve"> tím, že </w:t>
      </w:r>
      <w:r w:rsidR="00803681" w:rsidRPr="004E2B72">
        <w:rPr>
          <w:rFonts w:cs="Arial"/>
          <w:b/>
        </w:rPr>
        <w:t xml:space="preserve">určuje, které </w:t>
      </w:r>
      <w:r w:rsidR="00BF53EC" w:rsidRPr="004E2B72">
        <w:rPr>
          <w:rFonts w:cs="Arial"/>
          <w:b/>
        </w:rPr>
        <w:t>druhy nákladů</w:t>
      </w:r>
      <w:r w:rsidR="00803681" w:rsidRPr="004E2B72">
        <w:rPr>
          <w:rFonts w:cs="Arial"/>
          <w:b/>
        </w:rPr>
        <w:t xml:space="preserve"> se započítávají do celkových nákladů vlastnictví, resp. do celkových nákladů užití</w:t>
      </w:r>
      <w:r w:rsidR="00BF53EC" w:rsidRPr="004E2B72">
        <w:rPr>
          <w:rFonts w:cs="Arial"/>
          <w:b/>
        </w:rPr>
        <w:t xml:space="preserve"> ICT služby</w:t>
      </w:r>
      <w:r w:rsidR="00A37C03" w:rsidRPr="004E2B72">
        <w:rPr>
          <w:rFonts w:cs="Arial"/>
        </w:rPr>
        <w:t>.</w:t>
      </w:r>
      <w:r w:rsidR="00264B46" w:rsidRPr="004E2B72">
        <w:rPr>
          <w:rFonts w:cs="Arial"/>
        </w:rPr>
        <w:t xml:space="preserve"> </w:t>
      </w:r>
    </w:p>
    <w:p w14:paraId="58070AAB" w14:textId="36351612" w:rsidR="00F16F8A" w:rsidRPr="004E2B72" w:rsidRDefault="00F16F8A" w:rsidP="00073E78">
      <w:pPr>
        <w:pStyle w:val="Zkladntext"/>
        <w:jc w:val="both"/>
        <w:rPr>
          <w:rFonts w:cs="Arial"/>
        </w:rPr>
      </w:pPr>
      <w:r w:rsidRPr="004E2B72">
        <w:rPr>
          <w:rFonts w:cs="Arial"/>
        </w:rPr>
        <w:t>Orgány veřejné správy mohou metodiku využívat:</w:t>
      </w:r>
    </w:p>
    <w:p w14:paraId="7910C404" w14:textId="77777777" w:rsidR="00F16F8A" w:rsidRPr="004E2B72" w:rsidRDefault="00F16F8A" w:rsidP="00073E78">
      <w:pPr>
        <w:pStyle w:val="Odstavecseseznamem"/>
        <w:numPr>
          <w:ilvl w:val="0"/>
          <w:numId w:val="51"/>
        </w:numPr>
        <w:tabs>
          <w:tab w:val="clear" w:pos="284"/>
          <w:tab w:val="clear" w:pos="567"/>
          <w:tab w:val="clear" w:pos="851"/>
          <w:tab w:val="clear" w:pos="1134"/>
          <w:tab w:val="clear" w:pos="1418"/>
          <w:tab w:val="clear" w:pos="9072"/>
        </w:tabs>
        <w:spacing w:after="0"/>
        <w:contextualSpacing w:val="0"/>
        <w:jc w:val="both"/>
        <w:rPr>
          <w:rFonts w:cs="Arial"/>
          <w:szCs w:val="22"/>
        </w:rPr>
      </w:pPr>
      <w:r w:rsidRPr="004E2B72">
        <w:rPr>
          <w:rFonts w:cs="Arial"/>
          <w:szCs w:val="22"/>
        </w:rPr>
        <w:t>při kalkulaci celkových nákladů ISVS za určité období,</w:t>
      </w:r>
    </w:p>
    <w:p w14:paraId="51BA70F9" w14:textId="25487BE6" w:rsidR="00853E3D" w:rsidRPr="004E2B72" w:rsidRDefault="00853E3D" w:rsidP="00073E78">
      <w:pPr>
        <w:pStyle w:val="Odstavecseseznamem"/>
        <w:numPr>
          <w:ilvl w:val="0"/>
          <w:numId w:val="51"/>
        </w:numPr>
        <w:tabs>
          <w:tab w:val="clear" w:pos="284"/>
          <w:tab w:val="clear" w:pos="567"/>
          <w:tab w:val="clear" w:pos="851"/>
          <w:tab w:val="clear" w:pos="1134"/>
          <w:tab w:val="clear" w:pos="1418"/>
          <w:tab w:val="clear" w:pos="9072"/>
        </w:tabs>
        <w:spacing w:after="0"/>
        <w:contextualSpacing w:val="0"/>
        <w:jc w:val="both"/>
        <w:rPr>
          <w:rFonts w:cs="Arial"/>
          <w:szCs w:val="22"/>
        </w:rPr>
      </w:pPr>
      <w:r w:rsidRPr="004E2B72">
        <w:rPr>
          <w:rFonts w:cs="Arial"/>
          <w:szCs w:val="22"/>
        </w:rPr>
        <w:t>při porovnávání variant návrhu řešení ISVS (zejména on-premise ve</w:t>
      </w:r>
      <w:r w:rsidR="00960A67">
        <w:rPr>
          <w:rFonts w:cs="Arial"/>
          <w:szCs w:val="22"/>
        </w:rPr>
        <w:t>r</w:t>
      </w:r>
      <w:r w:rsidRPr="004E2B72">
        <w:rPr>
          <w:rFonts w:cs="Arial"/>
          <w:szCs w:val="22"/>
        </w:rPr>
        <w:t>sus cloud</w:t>
      </w:r>
      <w:r w:rsidR="003907E2" w:rsidRPr="004E2B72">
        <w:rPr>
          <w:rFonts w:cs="Arial"/>
          <w:szCs w:val="22"/>
        </w:rPr>
        <w:t>, nebo při různých bezpečnostních úrovních daného ISVS</w:t>
      </w:r>
      <w:r w:rsidRPr="004E2B72">
        <w:rPr>
          <w:rFonts w:cs="Arial"/>
          <w:szCs w:val="22"/>
        </w:rPr>
        <w:t>),</w:t>
      </w:r>
    </w:p>
    <w:p w14:paraId="34631931" w14:textId="37F4A311" w:rsidR="00F16F8A" w:rsidRPr="004E2B72" w:rsidRDefault="00853E3D" w:rsidP="00073E78">
      <w:pPr>
        <w:pStyle w:val="Odstavecseseznamem"/>
        <w:numPr>
          <w:ilvl w:val="0"/>
          <w:numId w:val="51"/>
        </w:numPr>
        <w:tabs>
          <w:tab w:val="clear" w:pos="284"/>
          <w:tab w:val="clear" w:pos="567"/>
          <w:tab w:val="clear" w:pos="851"/>
          <w:tab w:val="clear" w:pos="1134"/>
          <w:tab w:val="clear" w:pos="1418"/>
          <w:tab w:val="clear" w:pos="9072"/>
        </w:tabs>
        <w:spacing w:after="0"/>
        <w:contextualSpacing w:val="0"/>
        <w:jc w:val="both"/>
        <w:rPr>
          <w:rFonts w:cs="Arial"/>
          <w:szCs w:val="22"/>
        </w:rPr>
      </w:pPr>
      <w:r w:rsidRPr="004E2B72">
        <w:rPr>
          <w:rFonts w:cs="Arial"/>
          <w:szCs w:val="22"/>
        </w:rPr>
        <w:t>při</w:t>
      </w:r>
      <w:r w:rsidR="00F16F8A" w:rsidRPr="004E2B72">
        <w:rPr>
          <w:rFonts w:cs="Arial"/>
          <w:szCs w:val="22"/>
        </w:rPr>
        <w:t xml:space="preserve"> </w:t>
      </w:r>
      <w:r w:rsidRPr="004E2B72">
        <w:rPr>
          <w:rFonts w:cs="Arial"/>
          <w:szCs w:val="22"/>
        </w:rPr>
        <w:t xml:space="preserve">vyjádření ekonomické náročnosti v </w:t>
      </w:r>
      <w:r w:rsidR="00F16F8A" w:rsidRPr="004E2B72">
        <w:rPr>
          <w:rFonts w:cs="Arial"/>
          <w:szCs w:val="22"/>
        </w:rPr>
        <w:t xml:space="preserve"> žádosti o </w:t>
      </w:r>
      <w:r w:rsidRPr="004E2B72">
        <w:rPr>
          <w:rFonts w:cs="Arial"/>
          <w:szCs w:val="22"/>
        </w:rPr>
        <w:t>stanovisko</w:t>
      </w:r>
      <w:r w:rsidR="00F16F8A" w:rsidRPr="004E2B72">
        <w:rPr>
          <w:rFonts w:cs="Arial"/>
          <w:szCs w:val="22"/>
        </w:rPr>
        <w:t xml:space="preserve"> </w:t>
      </w:r>
      <w:r w:rsidRPr="004E2B72">
        <w:rPr>
          <w:rFonts w:cs="Arial"/>
          <w:szCs w:val="22"/>
        </w:rPr>
        <w:t xml:space="preserve">Odboru hlavního architekta k záměru </w:t>
      </w:r>
      <w:r w:rsidR="00F16F8A" w:rsidRPr="004E2B72">
        <w:rPr>
          <w:rFonts w:cs="Arial"/>
          <w:szCs w:val="22"/>
        </w:rPr>
        <w:t>ICT projektu,</w:t>
      </w:r>
    </w:p>
    <w:p w14:paraId="5EC64422" w14:textId="4C5BD8A1" w:rsidR="00F16F8A" w:rsidRPr="004E2B72" w:rsidRDefault="00F16F8A" w:rsidP="00073E78">
      <w:pPr>
        <w:pStyle w:val="Odstavecseseznamem"/>
        <w:numPr>
          <w:ilvl w:val="0"/>
          <w:numId w:val="51"/>
        </w:numPr>
        <w:tabs>
          <w:tab w:val="clear" w:pos="284"/>
          <w:tab w:val="clear" w:pos="567"/>
          <w:tab w:val="clear" w:pos="851"/>
          <w:tab w:val="clear" w:pos="1134"/>
          <w:tab w:val="clear" w:pos="1418"/>
          <w:tab w:val="clear" w:pos="9072"/>
        </w:tabs>
        <w:spacing w:after="0"/>
        <w:contextualSpacing w:val="0"/>
        <w:jc w:val="both"/>
        <w:rPr>
          <w:rFonts w:cs="Arial"/>
          <w:szCs w:val="22"/>
        </w:rPr>
      </w:pPr>
      <w:r w:rsidRPr="004E2B72">
        <w:rPr>
          <w:rFonts w:cs="Arial"/>
          <w:szCs w:val="22"/>
        </w:rPr>
        <w:t>při detailní analýze vlivu jednotlivých nákladových položek na náklady ISVS,</w:t>
      </w:r>
      <w:r w:rsidR="003907E2" w:rsidRPr="004E2B72">
        <w:rPr>
          <w:rFonts w:cs="Arial"/>
          <w:szCs w:val="22"/>
        </w:rPr>
        <w:t xml:space="preserve"> dále také controlling ICT,</w:t>
      </w:r>
    </w:p>
    <w:p w14:paraId="62A2144B" w14:textId="6EF4E35A" w:rsidR="00251001" w:rsidRPr="004E2B72" w:rsidRDefault="00251001" w:rsidP="00073E78">
      <w:pPr>
        <w:pStyle w:val="Odstavecseseznamem"/>
        <w:numPr>
          <w:ilvl w:val="0"/>
          <w:numId w:val="51"/>
        </w:numPr>
        <w:tabs>
          <w:tab w:val="clear" w:pos="284"/>
          <w:tab w:val="clear" w:pos="567"/>
          <w:tab w:val="clear" w:pos="851"/>
          <w:tab w:val="clear" w:pos="1134"/>
          <w:tab w:val="clear" w:pos="1418"/>
          <w:tab w:val="clear" w:pos="9072"/>
        </w:tabs>
        <w:spacing w:after="0"/>
        <w:contextualSpacing w:val="0"/>
        <w:jc w:val="both"/>
        <w:rPr>
          <w:rFonts w:cs="Arial"/>
          <w:szCs w:val="22"/>
        </w:rPr>
      </w:pPr>
      <w:r w:rsidRPr="004E2B72">
        <w:rPr>
          <w:rFonts w:cs="Arial"/>
          <w:szCs w:val="22"/>
        </w:rPr>
        <w:t>při plánování nákladů a výdajů pro účely sestavování státního rozpočtu,</w:t>
      </w:r>
    </w:p>
    <w:p w14:paraId="5E28C4C3" w14:textId="77777777" w:rsidR="00030205" w:rsidRDefault="00F16F8A" w:rsidP="00073E78">
      <w:pPr>
        <w:pStyle w:val="Odstavecseseznamem"/>
        <w:numPr>
          <w:ilvl w:val="0"/>
          <w:numId w:val="51"/>
        </w:numPr>
        <w:tabs>
          <w:tab w:val="clear" w:pos="284"/>
          <w:tab w:val="clear" w:pos="567"/>
          <w:tab w:val="clear" w:pos="851"/>
          <w:tab w:val="clear" w:pos="1134"/>
          <w:tab w:val="clear" w:pos="1418"/>
          <w:tab w:val="clear" w:pos="9072"/>
        </w:tabs>
        <w:spacing w:after="0"/>
        <w:contextualSpacing w:val="0"/>
        <w:jc w:val="both"/>
        <w:rPr>
          <w:rFonts w:cs="Arial"/>
          <w:szCs w:val="22"/>
        </w:rPr>
      </w:pPr>
      <w:r w:rsidRPr="004E2B72">
        <w:rPr>
          <w:rFonts w:cs="Arial"/>
          <w:szCs w:val="22"/>
        </w:rPr>
        <w:t>při porovnání různých nabídek na realizaci a provoz ISVS v rámci výběrového řízení</w:t>
      </w:r>
      <w:r w:rsidR="00030205">
        <w:rPr>
          <w:rFonts w:cs="Arial"/>
          <w:szCs w:val="22"/>
        </w:rPr>
        <w:t>,</w:t>
      </w:r>
    </w:p>
    <w:p w14:paraId="7CCEC519" w14:textId="77777777" w:rsidR="00760979" w:rsidRDefault="00030205" w:rsidP="00073E78">
      <w:pPr>
        <w:pStyle w:val="Odstavecseseznamem"/>
        <w:numPr>
          <w:ilvl w:val="0"/>
          <w:numId w:val="51"/>
        </w:numPr>
        <w:tabs>
          <w:tab w:val="clear" w:pos="284"/>
          <w:tab w:val="clear" w:pos="567"/>
          <w:tab w:val="clear" w:pos="851"/>
          <w:tab w:val="clear" w:pos="1134"/>
          <w:tab w:val="clear" w:pos="1418"/>
          <w:tab w:val="clear" w:pos="9072"/>
        </w:tabs>
        <w:spacing w:after="0"/>
        <w:contextualSpacing w:val="0"/>
        <w:jc w:val="both"/>
        <w:rPr>
          <w:rFonts w:cs="Arial"/>
          <w:szCs w:val="22"/>
        </w:rPr>
      </w:pPr>
      <w:r w:rsidRPr="00C80226">
        <w:rPr>
          <w:rFonts w:cs="Arial"/>
          <w:szCs w:val="22"/>
        </w:rPr>
        <w:t>při kapacitním plánování potřeby jednotlivých rolí v ICT útvarech</w:t>
      </w:r>
      <w:r w:rsidR="00760979" w:rsidRPr="00C80226">
        <w:rPr>
          <w:rFonts w:cs="Arial"/>
          <w:szCs w:val="22"/>
        </w:rPr>
        <w:t>,</w:t>
      </w:r>
    </w:p>
    <w:p w14:paraId="7730BCF7" w14:textId="5FF88044" w:rsidR="00F16F8A" w:rsidRPr="004E2B72" w:rsidRDefault="00760979" w:rsidP="00073E78">
      <w:pPr>
        <w:pStyle w:val="Odstavecseseznamem"/>
        <w:numPr>
          <w:ilvl w:val="0"/>
          <w:numId w:val="51"/>
        </w:numPr>
        <w:tabs>
          <w:tab w:val="clear" w:pos="284"/>
          <w:tab w:val="clear" w:pos="567"/>
          <w:tab w:val="clear" w:pos="851"/>
          <w:tab w:val="clear" w:pos="1134"/>
          <w:tab w:val="clear" w:pos="1418"/>
          <w:tab w:val="clear" w:pos="9072"/>
        </w:tabs>
        <w:spacing w:after="0"/>
        <w:contextualSpacing w:val="0"/>
        <w:jc w:val="both"/>
        <w:rPr>
          <w:rFonts w:cs="Arial"/>
          <w:szCs w:val="22"/>
        </w:rPr>
      </w:pPr>
      <w:r>
        <w:rPr>
          <w:rFonts w:cs="Arial"/>
          <w:szCs w:val="22"/>
        </w:rPr>
        <w:t xml:space="preserve">při kalkulaci nákladů pro celkové posouzení výhodnosti </w:t>
      </w:r>
      <w:r w:rsidR="000B0BF3">
        <w:rPr>
          <w:rFonts w:cs="Arial"/>
          <w:szCs w:val="22"/>
        </w:rPr>
        <w:t xml:space="preserve">ISVS </w:t>
      </w:r>
      <w:r>
        <w:rPr>
          <w:rFonts w:cs="Arial"/>
          <w:szCs w:val="22"/>
        </w:rPr>
        <w:t>(investiční záměr, BC</w:t>
      </w:r>
      <w:r>
        <w:rPr>
          <w:rStyle w:val="Znakapoznpodarou"/>
          <w:rFonts w:cs="Arial"/>
          <w:szCs w:val="22"/>
        </w:rPr>
        <w:footnoteReference w:id="2"/>
      </w:r>
      <w:r>
        <w:rPr>
          <w:rFonts w:cs="Arial"/>
          <w:szCs w:val="22"/>
        </w:rPr>
        <w:t>, CBA</w:t>
      </w:r>
      <w:r>
        <w:rPr>
          <w:rStyle w:val="Znakapoznpodarou"/>
          <w:rFonts w:cs="Arial"/>
          <w:szCs w:val="22"/>
        </w:rPr>
        <w:footnoteReference w:id="3"/>
      </w:r>
      <w:r>
        <w:rPr>
          <w:rFonts w:cs="Arial"/>
          <w:szCs w:val="22"/>
        </w:rPr>
        <w:t>, Public-ROI</w:t>
      </w:r>
      <w:r>
        <w:rPr>
          <w:rStyle w:val="Znakapoznpodarou"/>
          <w:rFonts w:cs="Arial"/>
          <w:szCs w:val="22"/>
        </w:rPr>
        <w:footnoteReference w:id="4"/>
      </w:r>
      <w:r>
        <w:rPr>
          <w:rFonts w:cs="Arial"/>
          <w:szCs w:val="22"/>
        </w:rPr>
        <w:t>)</w:t>
      </w:r>
      <w:r w:rsidR="00F16F8A" w:rsidRPr="004E2B72">
        <w:rPr>
          <w:rFonts w:cs="Arial"/>
          <w:szCs w:val="22"/>
        </w:rPr>
        <w:t>.</w:t>
      </w:r>
    </w:p>
    <w:p w14:paraId="23CE5029" w14:textId="77777777" w:rsidR="00F16F8A" w:rsidRPr="004E2B72" w:rsidRDefault="00F16F8A" w:rsidP="00073E78">
      <w:pPr>
        <w:spacing w:after="0"/>
        <w:jc w:val="both"/>
        <w:rPr>
          <w:rFonts w:cs="Arial"/>
          <w:szCs w:val="22"/>
        </w:rPr>
      </w:pPr>
    </w:p>
    <w:p w14:paraId="3B8C1DD9" w14:textId="4CDBE088" w:rsidR="008E4ABF" w:rsidRPr="004E2B72" w:rsidRDefault="00A37C03" w:rsidP="00073E78">
      <w:pPr>
        <w:pStyle w:val="Zkladntext"/>
        <w:jc w:val="both"/>
        <w:rPr>
          <w:rFonts w:cs="Arial"/>
        </w:rPr>
      </w:pPr>
      <w:r w:rsidRPr="004E2B72">
        <w:rPr>
          <w:rFonts w:cs="Arial"/>
        </w:rPr>
        <w:t xml:space="preserve">Metodika byla </w:t>
      </w:r>
      <w:r w:rsidR="000A32B2" w:rsidRPr="004E2B72">
        <w:rPr>
          <w:rFonts w:cs="Arial"/>
        </w:rPr>
        <w:t>vypracována</w:t>
      </w:r>
      <w:r w:rsidRPr="004E2B72">
        <w:rPr>
          <w:rFonts w:cs="Arial"/>
        </w:rPr>
        <w:t xml:space="preserve"> </w:t>
      </w:r>
      <w:r w:rsidR="00264B46" w:rsidRPr="004E2B72">
        <w:rPr>
          <w:rFonts w:cs="Arial"/>
        </w:rPr>
        <w:t>odborem H</w:t>
      </w:r>
      <w:r w:rsidR="001E1431" w:rsidRPr="004E2B72">
        <w:rPr>
          <w:rFonts w:cs="Arial"/>
        </w:rPr>
        <w:t>lavního architekta eGover</w:t>
      </w:r>
      <w:r w:rsidR="001132D5" w:rsidRPr="004E2B72">
        <w:rPr>
          <w:rFonts w:cs="Arial"/>
        </w:rPr>
        <w:t>n</w:t>
      </w:r>
      <w:r w:rsidR="001E1431" w:rsidRPr="004E2B72">
        <w:rPr>
          <w:rFonts w:cs="Arial"/>
        </w:rPr>
        <w:t>mentu</w:t>
      </w:r>
      <w:r w:rsidR="00264B46" w:rsidRPr="004E2B72">
        <w:rPr>
          <w:rFonts w:cs="Arial"/>
        </w:rPr>
        <w:t xml:space="preserve"> MVČR</w:t>
      </w:r>
      <w:r w:rsidRPr="004E2B72">
        <w:rPr>
          <w:rFonts w:cs="Arial"/>
        </w:rPr>
        <w:t xml:space="preserve"> ve spolupráci s</w:t>
      </w:r>
      <w:r w:rsidR="00CF264F" w:rsidRPr="004E2B72">
        <w:rPr>
          <w:rFonts w:cs="Arial"/>
        </w:rPr>
        <w:t> </w:t>
      </w:r>
      <w:r w:rsidRPr="004E2B72">
        <w:rPr>
          <w:rFonts w:cs="Arial"/>
        </w:rPr>
        <w:t>V</w:t>
      </w:r>
      <w:r w:rsidR="00CF264F" w:rsidRPr="004E2B72">
        <w:rPr>
          <w:rFonts w:cs="Arial"/>
        </w:rPr>
        <w:t>ysokou školou ekonomickou v</w:t>
      </w:r>
      <w:r w:rsidR="00665428" w:rsidRPr="004E2B72">
        <w:rPr>
          <w:rFonts w:cs="Arial"/>
        </w:rPr>
        <w:t> </w:t>
      </w:r>
      <w:r w:rsidRPr="004E2B72">
        <w:rPr>
          <w:rFonts w:cs="Arial"/>
        </w:rPr>
        <w:t>Pra</w:t>
      </w:r>
      <w:r w:rsidR="00CF264F" w:rsidRPr="004E2B72">
        <w:rPr>
          <w:rFonts w:cs="Arial"/>
        </w:rPr>
        <w:t>ze</w:t>
      </w:r>
      <w:r w:rsidR="00665428" w:rsidRPr="004E2B72">
        <w:rPr>
          <w:rFonts w:cs="Arial"/>
        </w:rPr>
        <w:t xml:space="preserve"> a se zástupci ICT průmyslu</w:t>
      </w:r>
      <w:r w:rsidR="001E1431" w:rsidRPr="004E2B72">
        <w:rPr>
          <w:rFonts w:cs="Arial"/>
        </w:rPr>
        <w:t>.</w:t>
      </w:r>
      <w:r w:rsidR="00372F58" w:rsidRPr="004E2B72">
        <w:rPr>
          <w:rFonts w:cs="Arial"/>
        </w:rPr>
        <w:t xml:space="preserve"> </w:t>
      </w:r>
    </w:p>
    <w:p w14:paraId="42100A39" w14:textId="0F91CBA8" w:rsidR="00DC49EA" w:rsidRPr="004E2B72" w:rsidRDefault="00DC49EA" w:rsidP="00073E78">
      <w:pPr>
        <w:pStyle w:val="Zkladntext"/>
        <w:jc w:val="both"/>
        <w:rPr>
          <w:rFonts w:cs="Arial"/>
        </w:rPr>
      </w:pPr>
      <w:r w:rsidRPr="004E2B72">
        <w:rPr>
          <w:rFonts w:cs="Arial"/>
        </w:rPr>
        <w:t xml:space="preserve">Parametry metodiky se liší podle </w:t>
      </w:r>
      <w:r w:rsidR="0026212B" w:rsidRPr="004E2B72">
        <w:rPr>
          <w:rFonts w:cs="Arial"/>
        </w:rPr>
        <w:t>jednotlivých účelů použití, podrobněji popsaných</w:t>
      </w:r>
      <w:r w:rsidR="003D6E0A" w:rsidRPr="004E2B72">
        <w:rPr>
          <w:rFonts w:cs="Arial"/>
        </w:rPr>
        <w:t xml:space="preserve"> v kapitole </w:t>
      </w:r>
      <w:r w:rsidR="003D6E0A" w:rsidRPr="004E2B72">
        <w:rPr>
          <w:rFonts w:cs="Arial"/>
        </w:rPr>
        <w:fldChar w:fldCharType="begin"/>
      </w:r>
      <w:r w:rsidR="003D6E0A" w:rsidRPr="004E2B72">
        <w:rPr>
          <w:rFonts w:cs="Arial"/>
        </w:rPr>
        <w:instrText xml:space="preserve"> REF _Ref438115321 \r \h </w:instrText>
      </w:r>
      <w:r w:rsidR="004E2B72">
        <w:rPr>
          <w:rFonts w:cs="Arial"/>
        </w:rPr>
        <w:instrText xml:space="preserve"> \* MERGEFORMAT </w:instrText>
      </w:r>
      <w:r w:rsidR="003D6E0A" w:rsidRPr="004E2B72">
        <w:rPr>
          <w:rFonts w:cs="Arial"/>
        </w:rPr>
      </w:r>
      <w:r w:rsidR="003D6E0A" w:rsidRPr="004E2B72">
        <w:rPr>
          <w:rFonts w:cs="Arial"/>
        </w:rPr>
        <w:fldChar w:fldCharType="separate"/>
      </w:r>
      <w:r w:rsidR="00BC5405" w:rsidRPr="004E2B72">
        <w:rPr>
          <w:rFonts w:cs="Arial"/>
        </w:rPr>
        <w:t>3</w:t>
      </w:r>
      <w:r w:rsidR="003D6E0A" w:rsidRPr="004E2B72">
        <w:rPr>
          <w:rFonts w:cs="Arial"/>
        </w:rPr>
        <w:fldChar w:fldCharType="end"/>
      </w:r>
      <w:r w:rsidR="003D6E0A" w:rsidRPr="004E2B72">
        <w:rPr>
          <w:rFonts w:cs="Arial"/>
        </w:rPr>
        <w:t xml:space="preserve"> - </w:t>
      </w:r>
      <w:r w:rsidR="003D6E0A" w:rsidRPr="004E2B72">
        <w:rPr>
          <w:rFonts w:cs="Arial"/>
        </w:rPr>
        <w:fldChar w:fldCharType="begin"/>
      </w:r>
      <w:r w:rsidR="003D6E0A" w:rsidRPr="004E2B72">
        <w:rPr>
          <w:rFonts w:cs="Arial"/>
        </w:rPr>
        <w:instrText xml:space="preserve"> REF _Ref438115321 \h </w:instrText>
      </w:r>
      <w:r w:rsidR="004E2B72">
        <w:rPr>
          <w:rFonts w:cs="Arial"/>
        </w:rPr>
        <w:instrText xml:space="preserve"> \* MERGEFORMAT </w:instrText>
      </w:r>
      <w:r w:rsidR="003D6E0A" w:rsidRPr="004E2B72">
        <w:rPr>
          <w:rFonts w:cs="Arial"/>
        </w:rPr>
      </w:r>
      <w:r w:rsidR="003D6E0A" w:rsidRPr="004E2B72">
        <w:rPr>
          <w:rFonts w:cs="Arial"/>
        </w:rPr>
        <w:fldChar w:fldCharType="separate"/>
      </w:r>
      <w:r w:rsidR="00BC5405" w:rsidRPr="004E2B72">
        <w:rPr>
          <w:rFonts w:cs="Arial"/>
        </w:rPr>
        <w:t>Způsoby využití ukazatele TCO v řízení ICT</w:t>
      </w:r>
      <w:r w:rsidR="003D6E0A" w:rsidRPr="004E2B72">
        <w:rPr>
          <w:rFonts w:cs="Arial"/>
        </w:rPr>
        <w:fldChar w:fldCharType="end"/>
      </w:r>
      <w:r w:rsidRPr="004E2B72">
        <w:rPr>
          <w:rFonts w:cs="Arial"/>
        </w:rPr>
        <w:t>.</w:t>
      </w:r>
    </w:p>
    <w:p w14:paraId="0961EC65" w14:textId="77777777" w:rsidR="00804A01" w:rsidRPr="004E2B72" w:rsidRDefault="00804A01" w:rsidP="00073E78">
      <w:pPr>
        <w:pStyle w:val="Nadpis1"/>
        <w:jc w:val="both"/>
        <w:rPr>
          <w:rFonts w:cs="Arial"/>
        </w:rPr>
      </w:pPr>
      <w:bookmarkStart w:id="2" w:name="_Toc120784660"/>
      <w:r w:rsidRPr="004E2B72">
        <w:rPr>
          <w:rFonts w:cs="Arial"/>
        </w:rPr>
        <w:t xml:space="preserve">Základní východiska </w:t>
      </w:r>
      <w:r w:rsidR="005212AB" w:rsidRPr="004E2B72">
        <w:rPr>
          <w:rFonts w:cs="Arial"/>
        </w:rPr>
        <w:t xml:space="preserve">a pravidla </w:t>
      </w:r>
      <w:r w:rsidRPr="004E2B72">
        <w:rPr>
          <w:rFonts w:cs="Arial"/>
        </w:rPr>
        <w:t>metodiky</w:t>
      </w:r>
      <w:bookmarkEnd w:id="2"/>
    </w:p>
    <w:p w14:paraId="3DCDDD26" w14:textId="41825AC9" w:rsidR="00025555" w:rsidRPr="004E2B72" w:rsidRDefault="00025555" w:rsidP="00073E78">
      <w:pPr>
        <w:pStyle w:val="Nadpis2"/>
        <w:jc w:val="both"/>
        <w:rPr>
          <w:rFonts w:cs="Arial"/>
        </w:rPr>
      </w:pPr>
      <w:bookmarkStart w:id="3" w:name="_Toc120784661"/>
      <w:r w:rsidRPr="004E2B72">
        <w:rPr>
          <w:rFonts w:cs="Arial"/>
        </w:rPr>
        <w:t xml:space="preserve">TCO jako součást </w:t>
      </w:r>
      <w:r w:rsidR="004B56CF" w:rsidRPr="004E2B72">
        <w:rPr>
          <w:rFonts w:cs="Arial"/>
        </w:rPr>
        <w:t xml:space="preserve">systému </w:t>
      </w:r>
      <w:r w:rsidRPr="004E2B72">
        <w:rPr>
          <w:rFonts w:cs="Arial"/>
        </w:rPr>
        <w:t>řízení výkonnosti a zodpovědnosti</w:t>
      </w:r>
      <w:bookmarkEnd w:id="3"/>
    </w:p>
    <w:p w14:paraId="08B45901" w14:textId="1F5A500A" w:rsidR="004B56CF" w:rsidRPr="004E2B72" w:rsidRDefault="004B56CF" w:rsidP="00073E78">
      <w:pPr>
        <w:pStyle w:val="Zkladntext"/>
        <w:jc w:val="both"/>
        <w:rPr>
          <w:rFonts w:cs="Arial"/>
        </w:rPr>
      </w:pPr>
      <w:r w:rsidRPr="004E2B72">
        <w:rPr>
          <w:rFonts w:cs="Arial"/>
        </w:rPr>
        <w:t>Benchmarking administrativních a správních procesů (Back-Office, Stewardship, interní služby, včetně ICT), společně s měřením výkonnosti hlavních a podpůrných procesů (Front a Middle Office, externí služby veřejné správy) tvoří jeden systém řízení výkonnosti, kvality a zodpovědnosti.</w:t>
      </w:r>
    </w:p>
    <w:p w14:paraId="3AD9DCAB" w14:textId="49B76BC0" w:rsidR="00025555" w:rsidRPr="004E2B72" w:rsidRDefault="00025555" w:rsidP="00073E78">
      <w:pPr>
        <w:pStyle w:val="Zkladntext"/>
        <w:jc w:val="both"/>
        <w:rPr>
          <w:rFonts w:cs="Arial"/>
        </w:rPr>
      </w:pPr>
      <w:r w:rsidRPr="004E2B72">
        <w:rPr>
          <w:rFonts w:cs="Arial"/>
        </w:rPr>
        <w:t>Absolutní výše nákladů vlastnictví (TCO) i odvozené vztažené (relativní) ukazatele patří mezi tzv. klíčové ukazatele výkonnosti (Key Performance Indicators, KPI), nebo tvoří součást výpočtu (hodnotového stromu, Value Tree) některých souhrnných KPI.</w:t>
      </w:r>
    </w:p>
    <w:p w14:paraId="6C834C36" w14:textId="6FE2ADF4" w:rsidR="00604B06" w:rsidRPr="004E2B72" w:rsidRDefault="00604B06" w:rsidP="00073E78">
      <w:pPr>
        <w:pStyle w:val="Zkladntext"/>
        <w:jc w:val="both"/>
        <w:rPr>
          <w:rFonts w:cs="Arial"/>
        </w:rPr>
      </w:pPr>
      <w:r w:rsidRPr="004E2B72">
        <w:rPr>
          <w:rFonts w:cs="Arial"/>
        </w:rPr>
        <w:t xml:space="preserve">TCO </w:t>
      </w:r>
      <w:r w:rsidR="002E6841" w:rsidRPr="004E2B72">
        <w:rPr>
          <w:rFonts w:cs="Arial"/>
        </w:rPr>
        <w:t>jako souhrnný ukazatel</w:t>
      </w:r>
      <w:r w:rsidR="00665428" w:rsidRPr="004E2B72">
        <w:rPr>
          <w:rFonts w:cs="Arial"/>
        </w:rPr>
        <w:t>,</w:t>
      </w:r>
      <w:r w:rsidR="002E6841" w:rsidRPr="004E2B72">
        <w:rPr>
          <w:rFonts w:cs="Arial"/>
        </w:rPr>
        <w:t xml:space="preserve"> zahrnující náklady na jednotlivé zdroje (</w:t>
      </w:r>
      <w:r w:rsidR="00665428" w:rsidRPr="004E2B72">
        <w:rPr>
          <w:rFonts w:cs="Arial"/>
        </w:rPr>
        <w:t>hospodárnost</w:t>
      </w:r>
      <w:r w:rsidR="002E6841" w:rsidRPr="004E2B72">
        <w:rPr>
          <w:rFonts w:cs="Arial"/>
        </w:rPr>
        <w:t>)</w:t>
      </w:r>
      <w:r w:rsidR="00665428" w:rsidRPr="004E2B72">
        <w:rPr>
          <w:rFonts w:cs="Arial"/>
        </w:rPr>
        <w:t xml:space="preserve"> a</w:t>
      </w:r>
      <w:r w:rsidR="002E6841" w:rsidRPr="004E2B72">
        <w:rPr>
          <w:rFonts w:cs="Arial"/>
        </w:rPr>
        <w:t xml:space="preserve"> míru jejich spotřeby pro dosažení výstupů (projektů, služeb)</w:t>
      </w:r>
      <w:r w:rsidR="00665428" w:rsidRPr="004E2B72">
        <w:rPr>
          <w:rFonts w:cs="Arial"/>
        </w:rPr>
        <w:t xml:space="preserve"> - (účinnost),</w:t>
      </w:r>
      <w:r w:rsidR="002E6841" w:rsidRPr="004E2B72">
        <w:rPr>
          <w:rFonts w:cs="Arial"/>
        </w:rPr>
        <w:t xml:space="preserve"> je důležitým ukazatelem z oblasti </w:t>
      </w:r>
      <w:r w:rsidR="004B56CF" w:rsidRPr="004E2B72">
        <w:rPr>
          <w:rFonts w:cs="Arial"/>
        </w:rPr>
        <w:t>3E</w:t>
      </w:r>
      <w:r w:rsidR="002E6841" w:rsidRPr="004E2B72">
        <w:rPr>
          <w:rFonts w:cs="Arial"/>
        </w:rPr>
        <w:t xml:space="preserve">, viz následující </w:t>
      </w:r>
      <w:r w:rsidR="0055039E" w:rsidRPr="004E2B72">
        <w:rPr>
          <w:rFonts w:cs="Arial"/>
        </w:rPr>
        <w:t>diagram, představující logický model řízení výkonnosti. V něm jsou ukazatele 3E definovány</w:t>
      </w:r>
      <w:r w:rsidR="0055039E" w:rsidRPr="004E2B72">
        <w:rPr>
          <w:rStyle w:val="Znakapoznpodarou"/>
          <w:rFonts w:cs="Arial"/>
        </w:rPr>
        <w:footnoteReference w:id="5"/>
      </w:r>
      <w:r w:rsidR="0055039E" w:rsidRPr="004E2B72">
        <w:rPr>
          <w:rFonts w:cs="Arial"/>
        </w:rPr>
        <w:t xml:space="preserve"> následovně:</w:t>
      </w:r>
    </w:p>
    <w:p w14:paraId="53A6BB68" w14:textId="4EBF3F14" w:rsidR="00954648" w:rsidRPr="004E2B72" w:rsidRDefault="00271B50" w:rsidP="00073E78">
      <w:pPr>
        <w:pStyle w:val="Zkladntext"/>
        <w:numPr>
          <w:ilvl w:val="0"/>
          <w:numId w:val="50"/>
        </w:numPr>
        <w:jc w:val="both"/>
        <w:rPr>
          <w:rFonts w:cs="Arial"/>
        </w:rPr>
      </w:pPr>
      <w:r w:rsidRPr="004E2B72">
        <w:rPr>
          <w:rFonts w:cs="Arial"/>
          <w:b/>
          <w:bCs/>
        </w:rPr>
        <w:t xml:space="preserve">Hospodárnost (Economy) </w:t>
      </w:r>
      <w:r w:rsidRPr="004E2B72">
        <w:rPr>
          <w:rFonts w:cs="Arial"/>
        </w:rPr>
        <w:t>– vztahuje se k</w:t>
      </w:r>
      <w:r w:rsidR="0055039E" w:rsidRPr="004E2B72">
        <w:rPr>
          <w:rFonts w:cs="Arial"/>
        </w:rPr>
        <w:t xml:space="preserve"> výdajům a </w:t>
      </w:r>
      <w:r w:rsidRPr="004E2B72">
        <w:rPr>
          <w:rFonts w:cs="Arial"/>
        </w:rPr>
        <w:t>nákladům na zdroje pro spotřebovávané vstupy. Metriky hospodárnost</w:t>
      </w:r>
      <w:r w:rsidR="0021720A" w:rsidRPr="004E2B72">
        <w:rPr>
          <w:rFonts w:cs="Arial"/>
        </w:rPr>
        <w:t>i</w:t>
      </w:r>
      <w:r w:rsidRPr="004E2B72">
        <w:rPr>
          <w:rFonts w:cs="Arial"/>
        </w:rPr>
        <w:t xml:space="preserve"> se používají k posouzení, zda za pořízení nezbytných zdrojů je placena odpovídající cena. Hospodárnost pořízení zdrojů je předpokladem pro následnou účinnost a účelnost jejich použití.</w:t>
      </w:r>
    </w:p>
    <w:p w14:paraId="3E7058A0" w14:textId="5EDD7707" w:rsidR="00954648" w:rsidRPr="004E2B72" w:rsidRDefault="00271B50" w:rsidP="00073E78">
      <w:pPr>
        <w:pStyle w:val="Zkladntext"/>
        <w:numPr>
          <w:ilvl w:val="0"/>
          <w:numId w:val="50"/>
        </w:numPr>
        <w:jc w:val="both"/>
        <w:rPr>
          <w:rFonts w:cs="Arial"/>
        </w:rPr>
      </w:pPr>
      <w:r w:rsidRPr="004E2B72">
        <w:rPr>
          <w:rFonts w:cs="Arial"/>
          <w:b/>
          <w:bCs/>
        </w:rPr>
        <w:t>Účinnost (Efficiency)</w:t>
      </w:r>
      <w:r w:rsidRPr="004E2B72">
        <w:rPr>
          <w:rFonts w:cs="Arial"/>
        </w:rPr>
        <w:t xml:space="preserve"> – účinnost </w:t>
      </w:r>
      <w:r w:rsidR="0055039E" w:rsidRPr="004E2B72">
        <w:rPr>
          <w:rFonts w:cs="Arial"/>
        </w:rPr>
        <w:t>(v ČR tzv. efektivita</w:t>
      </w:r>
      <w:r w:rsidR="0055039E" w:rsidRPr="004E2B72">
        <w:rPr>
          <w:rStyle w:val="Znakapoznpodarou"/>
          <w:rFonts w:cs="Arial"/>
        </w:rPr>
        <w:footnoteReference w:id="6"/>
      </w:r>
      <w:r w:rsidR="0055039E" w:rsidRPr="004E2B72">
        <w:rPr>
          <w:rFonts w:cs="Arial"/>
        </w:rPr>
        <w:t xml:space="preserve">) </w:t>
      </w:r>
      <w:r w:rsidRPr="004E2B72">
        <w:rPr>
          <w:rFonts w:cs="Arial"/>
        </w:rPr>
        <w:t xml:space="preserve">představuje vztah mezi vstupy a výstupy, je poměrem dosažených výstupů ke spotřebovaným vstupům. Účinnost je výrazem </w:t>
      </w:r>
      <w:r w:rsidR="0055039E" w:rsidRPr="004E2B72">
        <w:rPr>
          <w:rFonts w:cs="Arial"/>
        </w:rPr>
        <w:t>úsilí</w:t>
      </w:r>
      <w:r w:rsidRPr="004E2B72">
        <w:rPr>
          <w:rFonts w:cs="Arial"/>
        </w:rPr>
        <w:t xml:space="preserve"> „dělat věci správně“ a ukazuje na výkonnost ve smyslu způsobu, jakým je činnost uskutečňována.</w:t>
      </w:r>
    </w:p>
    <w:p w14:paraId="7704D5C7" w14:textId="734F3EA9" w:rsidR="00954648" w:rsidRPr="004E2B72" w:rsidRDefault="00271B50" w:rsidP="00073E78">
      <w:pPr>
        <w:pStyle w:val="Zkladntext"/>
        <w:numPr>
          <w:ilvl w:val="0"/>
          <w:numId w:val="50"/>
        </w:numPr>
        <w:jc w:val="both"/>
        <w:rPr>
          <w:rFonts w:cs="Arial"/>
        </w:rPr>
      </w:pPr>
      <w:r w:rsidRPr="004E2B72">
        <w:rPr>
          <w:rFonts w:cs="Arial"/>
          <w:b/>
          <w:bCs/>
        </w:rPr>
        <w:t xml:space="preserve">Účelnost (Effectiveness) </w:t>
      </w:r>
      <w:r w:rsidRPr="004E2B72">
        <w:rPr>
          <w:rFonts w:cs="Arial"/>
        </w:rPr>
        <w:t xml:space="preserve">– je výrazem míry jakou produkované výstupy vedou k očekávaným výsledkům. Metriky účelnosti se zaměřují na sílu vztahu mezi provedenou intervencí a dosaženým výsledkem. Účelnost je výrazem </w:t>
      </w:r>
      <w:r w:rsidR="0055039E" w:rsidRPr="004E2B72">
        <w:rPr>
          <w:rFonts w:cs="Arial"/>
        </w:rPr>
        <w:t>úsilí</w:t>
      </w:r>
      <w:r w:rsidRPr="004E2B72">
        <w:rPr>
          <w:rFonts w:cs="Arial"/>
        </w:rPr>
        <w:t xml:space="preserve"> „dělat správné věci“ a ukazuje na výkonnost ve smyslu volby činnosti, která je uskutečňována.</w:t>
      </w:r>
    </w:p>
    <w:p w14:paraId="15B7C83D" w14:textId="77777777" w:rsidR="0055039E" w:rsidRPr="004E2B72" w:rsidRDefault="0055039E" w:rsidP="00073E78">
      <w:pPr>
        <w:pStyle w:val="Zkladntext"/>
        <w:jc w:val="both"/>
        <w:rPr>
          <w:rFonts w:cs="Arial"/>
        </w:rPr>
      </w:pPr>
    </w:p>
    <w:p w14:paraId="5C92070E" w14:textId="26EB3B18" w:rsidR="002E6841" w:rsidRPr="004E2B72" w:rsidRDefault="002E6841" w:rsidP="00073E78">
      <w:pPr>
        <w:pStyle w:val="Zkladntext"/>
        <w:jc w:val="both"/>
        <w:rPr>
          <w:rFonts w:cs="Arial"/>
        </w:rPr>
      </w:pPr>
      <w:r w:rsidRPr="004E2B72">
        <w:rPr>
          <w:rFonts w:cs="Arial"/>
          <w:noProof/>
        </w:rPr>
        <w:drawing>
          <wp:inline distT="0" distB="0" distL="0" distR="0" wp14:anchorId="1A544983" wp14:editId="6B1AFB50">
            <wp:extent cx="4723200" cy="324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3200" cy="3240000"/>
                    </a:xfrm>
                    <a:prstGeom prst="rect">
                      <a:avLst/>
                    </a:prstGeom>
                    <a:noFill/>
                  </pic:spPr>
                </pic:pic>
              </a:graphicData>
            </a:graphic>
          </wp:inline>
        </w:drawing>
      </w:r>
    </w:p>
    <w:p w14:paraId="5C0BFD86" w14:textId="77777777" w:rsidR="00025555" w:rsidRPr="004E2B72" w:rsidRDefault="00025555" w:rsidP="00073E78">
      <w:pPr>
        <w:pStyle w:val="Zkladntext"/>
        <w:jc w:val="both"/>
        <w:rPr>
          <w:rFonts w:cs="Arial"/>
        </w:rPr>
      </w:pPr>
    </w:p>
    <w:p w14:paraId="184C843C" w14:textId="30328511" w:rsidR="00025555" w:rsidRPr="004E2B72" w:rsidRDefault="00025555" w:rsidP="00073E78">
      <w:pPr>
        <w:pStyle w:val="Zkladntext"/>
        <w:jc w:val="both"/>
        <w:rPr>
          <w:rFonts w:cs="Arial"/>
        </w:rPr>
      </w:pPr>
      <w:r w:rsidRPr="004E2B72">
        <w:rPr>
          <w:rFonts w:cs="Arial"/>
        </w:rPr>
        <w:t>TCO stejně jako ostatní KPI (</w:t>
      </w:r>
      <w:r w:rsidR="0055039E" w:rsidRPr="004E2B72">
        <w:rPr>
          <w:rFonts w:cs="Arial"/>
        </w:rPr>
        <w:t xml:space="preserve">také PPI a obecné </w:t>
      </w:r>
      <w:r w:rsidRPr="004E2B72">
        <w:rPr>
          <w:rFonts w:cs="Arial"/>
        </w:rPr>
        <w:t>PI)</w:t>
      </w:r>
      <w:r w:rsidR="00665428" w:rsidRPr="004E2B72">
        <w:rPr>
          <w:rStyle w:val="Znakapoznpodarou"/>
          <w:rFonts w:cs="Arial"/>
        </w:rPr>
        <w:footnoteReference w:id="7"/>
      </w:r>
      <w:r w:rsidRPr="004E2B72">
        <w:rPr>
          <w:rFonts w:cs="Arial"/>
        </w:rPr>
        <w:t xml:space="preserve"> jsou k řízení používány rámci životního cyklu posuzované oblasti podnikání (zde IT oddělení, IT řešení a </w:t>
      </w:r>
      <w:r w:rsidR="0055039E" w:rsidRPr="004E2B72">
        <w:rPr>
          <w:rFonts w:cs="Arial"/>
        </w:rPr>
        <w:t xml:space="preserve">IT </w:t>
      </w:r>
      <w:r w:rsidRPr="004E2B72">
        <w:rPr>
          <w:rFonts w:cs="Arial"/>
        </w:rPr>
        <w:t xml:space="preserve">služeb), který vychází z klasického </w:t>
      </w:r>
      <w:r w:rsidR="002E6841" w:rsidRPr="004E2B72">
        <w:rPr>
          <w:rFonts w:cs="Arial"/>
        </w:rPr>
        <w:t>Dem</w:t>
      </w:r>
      <w:r w:rsidRPr="004E2B72">
        <w:rPr>
          <w:rFonts w:cs="Arial"/>
        </w:rPr>
        <w:t>ingova PDCA cyklu</w:t>
      </w:r>
      <w:r w:rsidRPr="004E2B72">
        <w:rPr>
          <w:rStyle w:val="Znakapoznpodarou"/>
          <w:rFonts w:cs="Arial"/>
        </w:rPr>
        <w:footnoteReference w:id="8"/>
      </w:r>
      <w:r w:rsidRPr="004E2B72">
        <w:rPr>
          <w:rFonts w:cs="Arial"/>
        </w:rPr>
        <w:t xml:space="preserve"> </w:t>
      </w:r>
      <w:r w:rsidR="00BF6558" w:rsidRPr="004E2B72">
        <w:rPr>
          <w:rFonts w:cs="Arial"/>
        </w:rPr>
        <w:t>. Tento cyklus řízení výkonnosti, navržený pro VS ČR představuj</w:t>
      </w:r>
      <w:r w:rsidR="002E6841" w:rsidRPr="004E2B72">
        <w:rPr>
          <w:rFonts w:cs="Arial"/>
        </w:rPr>
        <w:t>e</w:t>
      </w:r>
      <w:r w:rsidR="00BF6558" w:rsidRPr="004E2B72">
        <w:rPr>
          <w:rFonts w:cs="Arial"/>
        </w:rPr>
        <w:t xml:space="preserve"> následující schéma:</w:t>
      </w:r>
    </w:p>
    <w:p w14:paraId="1D27B9F1" w14:textId="77777777" w:rsidR="00665428" w:rsidRPr="004E2B72" w:rsidRDefault="00665428" w:rsidP="00073E78">
      <w:pPr>
        <w:pStyle w:val="Zkladntext"/>
        <w:jc w:val="both"/>
        <w:rPr>
          <w:rFonts w:cs="Arial"/>
          <w:sz w:val="12"/>
        </w:rPr>
      </w:pPr>
    </w:p>
    <w:p w14:paraId="7455AF9E" w14:textId="2B01D7E0" w:rsidR="00BF6558" w:rsidRPr="004E2B72" w:rsidRDefault="00BF6558" w:rsidP="00073E78">
      <w:pPr>
        <w:pStyle w:val="Zkladntext"/>
        <w:jc w:val="both"/>
        <w:rPr>
          <w:rFonts w:cs="Arial"/>
        </w:rPr>
      </w:pPr>
      <w:r w:rsidRPr="004E2B72">
        <w:rPr>
          <w:rFonts w:cs="Arial"/>
          <w:noProof/>
        </w:rPr>
        <w:drawing>
          <wp:inline distT="0" distB="0" distL="0" distR="0" wp14:anchorId="3CCEA01D" wp14:editId="429A4555">
            <wp:extent cx="5651500" cy="3418632"/>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9550" cy="3459796"/>
                    </a:xfrm>
                    <a:prstGeom prst="rect">
                      <a:avLst/>
                    </a:prstGeom>
                    <a:noFill/>
                  </pic:spPr>
                </pic:pic>
              </a:graphicData>
            </a:graphic>
          </wp:inline>
        </w:drawing>
      </w:r>
    </w:p>
    <w:p w14:paraId="70BA9999" w14:textId="54E5C053" w:rsidR="0055039E" w:rsidRPr="004E2B72" w:rsidRDefault="0055039E" w:rsidP="00073E78">
      <w:pPr>
        <w:pStyle w:val="Zkladntext"/>
        <w:jc w:val="both"/>
        <w:rPr>
          <w:rFonts w:cs="Arial"/>
        </w:rPr>
      </w:pPr>
      <w:r w:rsidRPr="004E2B72">
        <w:rPr>
          <w:rFonts w:cs="Arial"/>
        </w:rPr>
        <w:t>Stejně jako u ostatních KPI je i u TCO předpokladem efektivního využívání tohoto nástroje naplnění fází vyhodnocení a jeho interpretace a realizace identifikovaných zlepšení. Pro nalezení míst ke zlepšení slouží zejména scénáře benchmarkingu TCO s využitím účelového modelu TCO, viz následující kapitoly.</w:t>
      </w:r>
    </w:p>
    <w:p w14:paraId="0CB69B03" w14:textId="43C1E0CF" w:rsidR="00231726" w:rsidRPr="004E2B72" w:rsidRDefault="00231726" w:rsidP="00073E78">
      <w:pPr>
        <w:pStyle w:val="Nadpis2"/>
        <w:jc w:val="both"/>
        <w:rPr>
          <w:rFonts w:cs="Arial"/>
        </w:rPr>
      </w:pPr>
      <w:bookmarkStart w:id="4" w:name="_Toc120784662"/>
      <w:r w:rsidRPr="004E2B72">
        <w:rPr>
          <w:rFonts w:cs="Arial"/>
        </w:rPr>
        <w:t xml:space="preserve">Východiska </w:t>
      </w:r>
      <w:r w:rsidR="003C08AB" w:rsidRPr="004E2B72">
        <w:rPr>
          <w:rFonts w:cs="Arial"/>
        </w:rPr>
        <w:t xml:space="preserve">a principy </w:t>
      </w:r>
      <w:r w:rsidRPr="004E2B72">
        <w:rPr>
          <w:rFonts w:cs="Arial"/>
        </w:rPr>
        <w:t>metodiky</w:t>
      </w:r>
      <w:r w:rsidR="00025555" w:rsidRPr="004E2B72">
        <w:rPr>
          <w:rFonts w:cs="Arial"/>
        </w:rPr>
        <w:t xml:space="preserve"> ukazatele TCO</w:t>
      </w:r>
      <w:r w:rsidR="0021720A" w:rsidRPr="004E2B72">
        <w:rPr>
          <w:rFonts w:cs="Arial"/>
        </w:rPr>
        <w:t xml:space="preserve"> ISVS</w:t>
      </w:r>
      <w:bookmarkEnd w:id="4"/>
    </w:p>
    <w:p w14:paraId="23747E77" w14:textId="3C40D4E3" w:rsidR="00C20210" w:rsidRPr="004E2B72" w:rsidRDefault="00575926" w:rsidP="00073E78">
      <w:pPr>
        <w:pStyle w:val="Nadpis3"/>
        <w:jc w:val="both"/>
      </w:pPr>
      <w:bookmarkStart w:id="5" w:name="_Toc120784663"/>
      <w:r>
        <w:t xml:space="preserve">Ukazatel </w:t>
      </w:r>
      <w:r w:rsidR="00C20210">
        <w:t>TCO obecně</w:t>
      </w:r>
      <w:bookmarkEnd w:id="5"/>
    </w:p>
    <w:p w14:paraId="08E9D997" w14:textId="00462019" w:rsidR="00960A67" w:rsidRDefault="00960A67" w:rsidP="00073E78">
      <w:pPr>
        <w:pStyle w:val="Zkladntext"/>
        <w:jc w:val="both"/>
        <w:rPr>
          <w:rFonts w:cs="Arial"/>
        </w:rPr>
      </w:pPr>
      <w:r>
        <w:rPr>
          <w:rFonts w:cs="Arial"/>
        </w:rPr>
        <w:t>Obecně m</w:t>
      </w:r>
      <w:r w:rsidR="00C46F55" w:rsidRPr="004E2B72">
        <w:rPr>
          <w:rFonts w:cs="Arial"/>
        </w:rPr>
        <w:t xml:space="preserve">etodika </w:t>
      </w:r>
      <w:r>
        <w:rPr>
          <w:rFonts w:cs="Arial"/>
        </w:rPr>
        <w:t xml:space="preserve">TCO </w:t>
      </w:r>
      <w:r w:rsidR="00C46F55" w:rsidRPr="004E2B72">
        <w:rPr>
          <w:rFonts w:cs="Arial"/>
        </w:rPr>
        <w:t xml:space="preserve">objasňuje </w:t>
      </w:r>
      <w:r w:rsidR="00C46F55" w:rsidRPr="004E2B72">
        <w:rPr>
          <w:rFonts w:cs="Arial"/>
          <w:b/>
        </w:rPr>
        <w:t>úplnou strukturu nákladů</w:t>
      </w:r>
      <w:r w:rsidR="00C46F55" w:rsidRPr="004E2B72">
        <w:rPr>
          <w:rFonts w:cs="Arial"/>
        </w:rPr>
        <w:t xml:space="preserve">, spojených s životním cyklem ICT řešení a jejich služeb. </w:t>
      </w:r>
    </w:p>
    <w:p w14:paraId="3B0EB5ED" w14:textId="1D4A0B98" w:rsidR="00FC2CA3" w:rsidRPr="004E2B72" w:rsidRDefault="00FC32E2" w:rsidP="00073E78">
      <w:pPr>
        <w:pStyle w:val="Zkladntext"/>
        <w:jc w:val="both"/>
        <w:rPr>
          <w:rFonts w:cs="Arial"/>
        </w:rPr>
      </w:pPr>
      <w:r w:rsidRPr="004E2B72">
        <w:rPr>
          <w:rFonts w:cs="Arial"/>
        </w:rPr>
        <w:t>Přináší nový pohled na řízení informatiky, v</w:t>
      </w:r>
      <w:r w:rsidR="00C46F55" w:rsidRPr="004E2B72">
        <w:rPr>
          <w:rFonts w:cs="Arial"/>
        </w:rPr>
        <w:t xml:space="preserve">náší do </w:t>
      </w:r>
      <w:r w:rsidR="006659CE" w:rsidRPr="004E2B72">
        <w:rPr>
          <w:rFonts w:cs="Arial"/>
        </w:rPr>
        <w:t xml:space="preserve">sledování a řízení </w:t>
      </w:r>
      <w:r w:rsidR="00C46F55" w:rsidRPr="004E2B72">
        <w:rPr>
          <w:rFonts w:cs="Arial"/>
        </w:rPr>
        <w:t xml:space="preserve">ICT </w:t>
      </w:r>
      <w:r w:rsidR="00FC1DAE" w:rsidRPr="004E2B72">
        <w:rPr>
          <w:rFonts w:cs="Arial"/>
        </w:rPr>
        <w:t xml:space="preserve">nákladů </w:t>
      </w:r>
      <w:r w:rsidR="002255FF" w:rsidRPr="004E2B72">
        <w:rPr>
          <w:rFonts w:cs="Arial"/>
        </w:rPr>
        <w:t>jednotný</w:t>
      </w:r>
      <w:r w:rsidRPr="004E2B72">
        <w:rPr>
          <w:rFonts w:cs="Arial"/>
        </w:rPr>
        <w:t xml:space="preserve"> </w:t>
      </w:r>
      <w:r w:rsidR="00C46F55" w:rsidRPr="004E2B72">
        <w:rPr>
          <w:rFonts w:cs="Arial"/>
        </w:rPr>
        <w:t>řád, umožňuje manažerům ICT se v problematice orientovat a rozvíjet tzv. controlling ICT služeb</w:t>
      </w:r>
      <w:r w:rsidR="00C46F55" w:rsidRPr="004E2B72">
        <w:rPr>
          <w:rStyle w:val="Znakapoznpodarou"/>
          <w:rFonts w:cs="Arial"/>
        </w:rPr>
        <w:footnoteReference w:id="9"/>
      </w:r>
      <w:r w:rsidR="00C46F55" w:rsidRPr="004E2B72">
        <w:rPr>
          <w:rFonts w:cs="Arial"/>
        </w:rPr>
        <w:t>.</w:t>
      </w:r>
      <w:r w:rsidR="00FC2CA3" w:rsidRPr="004E2B72">
        <w:rPr>
          <w:rFonts w:cs="Arial"/>
        </w:rPr>
        <w:t xml:space="preserve"> </w:t>
      </w:r>
    </w:p>
    <w:p w14:paraId="1B322CA8" w14:textId="758FA819" w:rsidR="002255FF" w:rsidRDefault="00FC2CA3" w:rsidP="00073E78">
      <w:pPr>
        <w:jc w:val="both"/>
        <w:rPr>
          <w:rFonts w:cs="Arial"/>
        </w:rPr>
      </w:pPr>
      <w:r w:rsidRPr="004E2B72">
        <w:rPr>
          <w:rFonts w:cs="Arial"/>
        </w:rPr>
        <w:t>Podstatou controllingu</w:t>
      </w:r>
      <w:r w:rsidR="00FC32E2" w:rsidRPr="004E2B72">
        <w:rPr>
          <w:rFonts w:cs="Arial"/>
        </w:rPr>
        <w:t xml:space="preserve"> </w:t>
      </w:r>
      <w:r w:rsidR="002255FF" w:rsidRPr="004E2B72">
        <w:rPr>
          <w:rFonts w:cs="Arial"/>
        </w:rPr>
        <w:t xml:space="preserve">obecně </w:t>
      </w:r>
      <w:r w:rsidR="00FC32E2" w:rsidRPr="004E2B72">
        <w:rPr>
          <w:rFonts w:cs="Arial"/>
        </w:rPr>
        <w:t>(</w:t>
      </w:r>
      <w:r w:rsidR="002255FF" w:rsidRPr="004E2B72">
        <w:rPr>
          <w:rFonts w:cs="Arial"/>
        </w:rPr>
        <w:t xml:space="preserve">jako </w:t>
      </w:r>
      <w:r w:rsidR="00FC32E2" w:rsidRPr="004E2B72">
        <w:rPr>
          <w:rFonts w:cs="Arial"/>
        </w:rPr>
        <w:t>manažerského, interního účetnictví)</w:t>
      </w:r>
      <w:r w:rsidRPr="004E2B72">
        <w:rPr>
          <w:rFonts w:cs="Arial"/>
        </w:rPr>
        <w:t xml:space="preserve"> je doplnění řízení peněžních výdajů </w:t>
      </w:r>
      <w:r w:rsidR="002255FF" w:rsidRPr="004E2B72">
        <w:rPr>
          <w:rFonts w:cs="Arial"/>
        </w:rPr>
        <w:t xml:space="preserve">v externím účetnictví (rozpočetnictví) </w:t>
      </w:r>
      <w:r w:rsidRPr="004E2B72">
        <w:rPr>
          <w:rFonts w:cs="Arial"/>
        </w:rPr>
        <w:t xml:space="preserve">o mnohem účinnější </w:t>
      </w:r>
      <w:r w:rsidRPr="004E2B72">
        <w:rPr>
          <w:rFonts w:cs="Arial"/>
          <w:b/>
        </w:rPr>
        <w:t>řízení spotřeby zdrojů</w:t>
      </w:r>
      <w:r w:rsidRPr="004E2B72">
        <w:rPr>
          <w:rFonts w:cs="Arial"/>
        </w:rPr>
        <w:t>, viz následující kapitola.</w:t>
      </w:r>
      <w:r w:rsidR="002255FF" w:rsidRPr="004E2B72">
        <w:rPr>
          <w:rFonts w:cs="Arial"/>
        </w:rPr>
        <w:t xml:space="preserve"> Zaměřuje p</w:t>
      </w:r>
      <w:r w:rsidR="00FC32E2" w:rsidRPr="004E2B72">
        <w:rPr>
          <w:rFonts w:cs="Arial"/>
        </w:rPr>
        <w:t>ozornost manažerů od okamžiků a míst, kdy a kde odcházejí výdaje</w:t>
      </w:r>
      <w:r w:rsidR="00FC1DAE" w:rsidRPr="004E2B72">
        <w:rPr>
          <w:rFonts w:cs="Arial"/>
        </w:rPr>
        <w:t>,</w:t>
      </w:r>
      <w:r w:rsidR="00FC32E2" w:rsidRPr="004E2B72">
        <w:rPr>
          <w:rFonts w:cs="Arial"/>
        </w:rPr>
        <w:t xml:space="preserve"> do okamžiků a míst, kdy a kde se spotřebovávají zdroje. Snížením spotřeby zdrojů dojde následně (příště) ke snížení výdajů.</w:t>
      </w:r>
    </w:p>
    <w:p w14:paraId="71D06961" w14:textId="77777777" w:rsidR="006E0AD5" w:rsidRDefault="002255FF" w:rsidP="00073E78">
      <w:pPr>
        <w:jc w:val="both"/>
        <w:rPr>
          <w:rFonts w:cs="Arial"/>
        </w:rPr>
      </w:pPr>
      <w:bookmarkStart w:id="6" w:name="_Toc120696849"/>
      <w:bookmarkEnd w:id="6"/>
      <w:r w:rsidRPr="004E2B72">
        <w:rPr>
          <w:rFonts w:cs="Arial"/>
        </w:rPr>
        <w:t xml:space="preserve">Jedním z klíčových principů této metodiky je, že samotné výdaje nebo celkové náklady na pořízení ICT služby musí být počítány tak, aby umožňovaly z tohoto pohledu </w:t>
      </w:r>
      <w:r w:rsidRPr="004E2B72">
        <w:rPr>
          <w:rFonts w:cs="Arial"/>
          <w:b/>
        </w:rPr>
        <w:t>rovnost a srovnatelnost všech způsobů pořízení služby</w:t>
      </w:r>
      <w:r w:rsidRPr="004E2B72">
        <w:rPr>
          <w:rFonts w:cs="Arial"/>
        </w:rPr>
        <w:t>, ať již jako investici do řešení nebo nákup software jako služby (SaaS) nebo libovolné kombinace nebo mezistupně mezi těmito formami pořízení a užívání ICT služby.</w:t>
      </w:r>
    </w:p>
    <w:p w14:paraId="1D9A09CB" w14:textId="73743DA3" w:rsidR="00EB7257" w:rsidRDefault="002255FF" w:rsidP="00073E78">
      <w:pPr>
        <w:jc w:val="both"/>
        <w:rPr>
          <w:rFonts w:cs="Arial"/>
        </w:rPr>
      </w:pPr>
      <w:r w:rsidRPr="004E2B72">
        <w:rPr>
          <w:rFonts w:cs="Arial"/>
        </w:rPr>
        <w:t xml:space="preserve">Aby byly </w:t>
      </w:r>
      <w:r w:rsidR="006E0AD5">
        <w:rPr>
          <w:rFonts w:cs="Arial"/>
        </w:rPr>
        <w:t xml:space="preserve">náklady </w:t>
      </w:r>
      <w:r w:rsidRPr="004E2B72">
        <w:rPr>
          <w:rFonts w:cs="Arial"/>
        </w:rPr>
        <w:t xml:space="preserve">lépe srovnatelné, </w:t>
      </w:r>
      <w:r w:rsidRPr="00073E78">
        <w:rPr>
          <w:rFonts w:cs="Arial"/>
          <w:b/>
          <w:bCs/>
        </w:rPr>
        <w:t>je uvažováno vždy standardně 5 leté období užívání služby</w:t>
      </w:r>
      <w:r w:rsidRPr="004E2B72">
        <w:rPr>
          <w:rFonts w:cs="Arial"/>
        </w:rPr>
        <w:t xml:space="preserve"> (v odůvodněných případech období kratší), do něhož je možné rozložit výši vstupních výdajů řešení budovaného jako majetek (investice).</w:t>
      </w:r>
      <w:r w:rsidR="00EB7257" w:rsidRPr="004E2B72">
        <w:rPr>
          <w:rFonts w:cs="Arial"/>
        </w:rPr>
        <w:t xml:space="preserve"> </w:t>
      </w:r>
    </w:p>
    <w:p w14:paraId="74640052" w14:textId="77777777" w:rsidR="0015356A" w:rsidRPr="004E2B72" w:rsidRDefault="0015356A" w:rsidP="0015356A">
      <w:pPr>
        <w:pStyle w:val="Zkladntext"/>
        <w:jc w:val="both"/>
        <w:rPr>
          <w:rFonts w:cs="Arial"/>
        </w:rPr>
      </w:pPr>
      <w:r w:rsidRPr="004E2B72">
        <w:rPr>
          <w:rFonts w:cs="Arial"/>
        </w:rPr>
        <w:t xml:space="preserve">Podstatný je také vliv a aplikace DPH na cenové složky (výdaje) v ukazateli TCO ISVS. Jde o to, že dle dřívější podoby zákona č. 365/2000 Sb. o informačních systémech veřejné správy, dále také jenom Zákon, a podle původních i aktuálně přijatých usnesení vlády, se ekonomické aspekty řešení, zejména limitní výše hodnoty záměru pro Žádosti o stanovisko OHA musely uvažovat </w:t>
      </w:r>
      <w:r w:rsidRPr="004E2B72">
        <w:rPr>
          <w:rFonts w:cs="Arial"/>
          <w:u w:val="single"/>
        </w:rPr>
        <w:t>bez DPH</w:t>
      </w:r>
      <w:r w:rsidRPr="004E2B72">
        <w:rPr>
          <w:rFonts w:cs="Arial"/>
        </w:rPr>
        <w:t xml:space="preserve">, ale pro všechna manažerská použití TCO ve veřejné správě je nutné uvažovat náklady i výdaje </w:t>
      </w:r>
      <w:r w:rsidRPr="004E2B72">
        <w:rPr>
          <w:rFonts w:cs="Arial"/>
          <w:u w:val="single"/>
        </w:rPr>
        <w:t>včetně DPH</w:t>
      </w:r>
      <w:r w:rsidRPr="004E2B72">
        <w:rPr>
          <w:rFonts w:cs="Arial"/>
        </w:rPr>
        <w:t>, protože OVM nemohou provádět odpočet DPH „na vstupu“.</w:t>
      </w:r>
    </w:p>
    <w:p w14:paraId="712130EE" w14:textId="3B6D39F5" w:rsidR="0015356A" w:rsidRPr="004E2B72" w:rsidRDefault="0015356A" w:rsidP="0015356A">
      <w:pPr>
        <w:jc w:val="both"/>
        <w:rPr>
          <w:rFonts w:cs="Arial"/>
        </w:rPr>
      </w:pPr>
      <w:r w:rsidRPr="004E2B72">
        <w:rPr>
          <w:rFonts w:cs="Arial"/>
        </w:rPr>
        <w:t>V aktualizované verzi formuláře OHA je navrženo ve všech složkách výpočtu TCO uvažovat ceny včetně DPH, pouze pro porovnání s limitní hodnotou záměru projektu dle Usnesení vlády č. 831/2022 Sb. brát hodnotu bez DPH.</w:t>
      </w:r>
    </w:p>
    <w:p w14:paraId="51FB03F6" w14:textId="77777777" w:rsidR="00C20210" w:rsidRDefault="00C20210" w:rsidP="00073E78">
      <w:pPr>
        <w:pStyle w:val="Nadpis3"/>
        <w:jc w:val="both"/>
      </w:pPr>
      <w:bookmarkStart w:id="7" w:name="_Toc120784664"/>
      <w:r>
        <w:t>Zjednodušené / plnohodnotné TCO</w:t>
      </w:r>
      <w:bookmarkEnd w:id="7"/>
    </w:p>
    <w:p w14:paraId="25D3C391" w14:textId="2A2F5A01" w:rsidR="00C20210" w:rsidRDefault="00C20210" w:rsidP="00073E78">
      <w:pPr>
        <w:jc w:val="both"/>
        <w:rPr>
          <w:rFonts w:cs="Arial"/>
        </w:rPr>
      </w:pPr>
      <w:r>
        <w:rPr>
          <w:rFonts w:cs="Arial"/>
        </w:rPr>
        <w:t xml:space="preserve">Rozsah a forma </w:t>
      </w:r>
      <w:r w:rsidR="00575926">
        <w:rPr>
          <w:rFonts w:cs="Arial"/>
        </w:rPr>
        <w:t>uplatnění</w:t>
      </w:r>
      <w:r>
        <w:rPr>
          <w:rFonts w:cs="Arial"/>
        </w:rPr>
        <w:t xml:space="preserve"> metody TCO v rámci VS j</w:t>
      </w:r>
      <w:r w:rsidR="00575926">
        <w:rPr>
          <w:rFonts w:cs="Arial"/>
        </w:rPr>
        <w:t>sou</w:t>
      </w:r>
      <w:r>
        <w:rPr>
          <w:rFonts w:cs="Arial"/>
        </w:rPr>
        <w:t xml:space="preserve"> limitován</w:t>
      </w:r>
      <w:r w:rsidR="00575926">
        <w:rPr>
          <w:rFonts w:cs="Arial"/>
        </w:rPr>
        <w:t>y</w:t>
      </w:r>
      <w:r>
        <w:rPr>
          <w:rFonts w:cs="Arial"/>
        </w:rPr>
        <w:t xml:space="preserve"> faktem, že OVM standardně </w:t>
      </w:r>
      <w:r w:rsidR="000B0BF3">
        <w:rPr>
          <w:rFonts w:cs="Arial"/>
        </w:rPr>
        <w:t xml:space="preserve">sledují pouze výdaje (použití peněz) a </w:t>
      </w:r>
      <w:r>
        <w:rPr>
          <w:rFonts w:cs="Arial"/>
        </w:rPr>
        <w:t>nesledují náklady</w:t>
      </w:r>
      <w:r w:rsidR="000B0BF3">
        <w:rPr>
          <w:rFonts w:cs="Arial"/>
        </w:rPr>
        <w:t xml:space="preserve"> (spotřebu zdrojů). Zejména náklady, pokud je lze dovodit, ale standardně nesledují plně (dostatečně)</w:t>
      </w:r>
      <w:r>
        <w:rPr>
          <w:rFonts w:cs="Arial"/>
        </w:rPr>
        <w:t xml:space="preserve"> adresně, tzn. dle účelu, na který jsou vynakládány.</w:t>
      </w:r>
    </w:p>
    <w:p w14:paraId="6DE007D8" w14:textId="15DAD8AC" w:rsidR="002255FF" w:rsidRPr="004E2B72" w:rsidRDefault="00D07D4E" w:rsidP="00073E78">
      <w:pPr>
        <w:jc w:val="both"/>
        <w:rPr>
          <w:rFonts w:cs="Arial"/>
        </w:rPr>
      </w:pPr>
      <w:r w:rsidRPr="004E2B72">
        <w:rPr>
          <w:rFonts w:cs="Arial"/>
        </w:rPr>
        <w:t xml:space="preserve">Celkové náklady TCO </w:t>
      </w:r>
      <w:r w:rsidR="00EB7257" w:rsidRPr="004E2B72">
        <w:rPr>
          <w:rFonts w:cs="Arial"/>
        </w:rPr>
        <w:t xml:space="preserve">musí pokrývat </w:t>
      </w:r>
      <w:r w:rsidR="00EB7257" w:rsidRPr="004E2B72">
        <w:rPr>
          <w:rFonts w:cs="Arial"/>
          <w:b/>
        </w:rPr>
        <w:t xml:space="preserve">všechny kategorie </w:t>
      </w:r>
      <w:r w:rsidRPr="004E2B72">
        <w:rPr>
          <w:rFonts w:cs="Arial"/>
          <w:b/>
        </w:rPr>
        <w:t xml:space="preserve">nákladů </w:t>
      </w:r>
      <w:r w:rsidRPr="004E2B72">
        <w:rPr>
          <w:rFonts w:cs="Arial"/>
        </w:rPr>
        <w:t>dle</w:t>
      </w:r>
      <w:r w:rsidR="00EB7257" w:rsidRPr="004E2B72">
        <w:rPr>
          <w:rFonts w:cs="Arial"/>
        </w:rPr>
        <w:t xml:space="preserve"> </w:t>
      </w:r>
      <w:r w:rsidRPr="004E2B72">
        <w:rPr>
          <w:rFonts w:cs="Arial"/>
        </w:rPr>
        <w:t xml:space="preserve">jejich účelového členění podle </w:t>
      </w:r>
      <w:r w:rsidR="00EB7257" w:rsidRPr="004E2B72">
        <w:rPr>
          <w:rFonts w:cs="Arial"/>
          <w:b/>
        </w:rPr>
        <w:t xml:space="preserve">všech životních fází s projektem (záměrem) spojeného řešení </w:t>
      </w:r>
      <w:r w:rsidR="00EB7257" w:rsidRPr="004E2B72">
        <w:rPr>
          <w:rFonts w:cs="Arial"/>
        </w:rPr>
        <w:t xml:space="preserve">za dobu přípravy, pořízení, realizace (vývoje), úprav a zavedení ICT služeb předmětného řešení a za </w:t>
      </w:r>
      <w:r w:rsidRPr="004E2B72">
        <w:rPr>
          <w:rFonts w:cs="Arial"/>
        </w:rPr>
        <w:t xml:space="preserve">těchto </w:t>
      </w:r>
      <w:r w:rsidR="00EB7257" w:rsidRPr="004E2B72">
        <w:rPr>
          <w:rFonts w:cs="Arial"/>
        </w:rPr>
        <w:t xml:space="preserve">5 let jeho užívání, provozu, údržby a rozvoje, s výjimkou těch kategorií, které metodika TCO pro </w:t>
      </w:r>
      <w:r w:rsidR="00665428" w:rsidRPr="004E2B72">
        <w:rPr>
          <w:rFonts w:cs="Arial"/>
        </w:rPr>
        <w:t xml:space="preserve">jednotlivé </w:t>
      </w:r>
      <w:r w:rsidR="00EB7257" w:rsidRPr="004E2B72">
        <w:rPr>
          <w:rFonts w:cs="Arial"/>
        </w:rPr>
        <w:t>účel</w:t>
      </w:r>
      <w:r w:rsidR="00665428" w:rsidRPr="004E2B72">
        <w:rPr>
          <w:rFonts w:cs="Arial"/>
        </w:rPr>
        <w:t>y použití ukazatele</w:t>
      </w:r>
      <w:r w:rsidR="00EB7257" w:rsidRPr="004E2B72">
        <w:rPr>
          <w:rFonts w:cs="Arial"/>
        </w:rPr>
        <w:t xml:space="preserve"> pro zjednodušení záměrně opomíjí.</w:t>
      </w:r>
    </w:p>
    <w:p w14:paraId="629A2DE1" w14:textId="07B6F32A" w:rsidR="00DC49EA" w:rsidRPr="004E2B72" w:rsidRDefault="00C46F55" w:rsidP="00073E78">
      <w:pPr>
        <w:pStyle w:val="Zkladntext"/>
        <w:jc w:val="both"/>
        <w:rPr>
          <w:rFonts w:cs="Arial"/>
        </w:rPr>
      </w:pPr>
      <w:r w:rsidRPr="004E2B72">
        <w:rPr>
          <w:rFonts w:cs="Arial"/>
          <w:b/>
        </w:rPr>
        <w:t>Pro jednotlivé účely</w:t>
      </w:r>
      <w:r w:rsidRPr="004E2B72">
        <w:rPr>
          <w:rFonts w:cs="Arial"/>
        </w:rPr>
        <w:t xml:space="preserve"> </w:t>
      </w:r>
      <w:r w:rsidR="00A70FF7" w:rsidRPr="004E2B72">
        <w:rPr>
          <w:rFonts w:cs="Arial"/>
        </w:rPr>
        <w:t xml:space="preserve">a způsoby </w:t>
      </w:r>
      <w:r w:rsidRPr="004E2B72">
        <w:rPr>
          <w:rFonts w:cs="Arial"/>
        </w:rPr>
        <w:t>použití m</w:t>
      </w:r>
      <w:r w:rsidR="00BF53EC" w:rsidRPr="004E2B72">
        <w:rPr>
          <w:rFonts w:cs="Arial"/>
        </w:rPr>
        <w:t xml:space="preserve">etodika </w:t>
      </w:r>
      <w:r w:rsidR="006E0AD5">
        <w:rPr>
          <w:rFonts w:cs="Arial"/>
        </w:rPr>
        <w:t xml:space="preserve">zjednodušeného </w:t>
      </w:r>
      <w:r w:rsidRPr="004E2B72">
        <w:rPr>
          <w:rFonts w:cs="Arial"/>
        </w:rPr>
        <w:t>TCO</w:t>
      </w:r>
      <w:r w:rsidR="002255FF" w:rsidRPr="004E2B72">
        <w:rPr>
          <w:rFonts w:cs="Arial"/>
        </w:rPr>
        <w:t xml:space="preserve"> stanovuje různou míru </w:t>
      </w:r>
      <w:r w:rsidR="002255FF" w:rsidRPr="004E2B72">
        <w:rPr>
          <w:rFonts w:cs="Arial"/>
          <w:b/>
        </w:rPr>
        <w:t>zjednodušení</w:t>
      </w:r>
      <w:r w:rsidR="002255FF" w:rsidRPr="004E2B72">
        <w:rPr>
          <w:rFonts w:cs="Arial"/>
        </w:rPr>
        <w:t xml:space="preserve"> a </w:t>
      </w:r>
      <w:r w:rsidRPr="004E2B72">
        <w:rPr>
          <w:rFonts w:cs="Arial"/>
          <w:b/>
        </w:rPr>
        <w:t xml:space="preserve">některé kategorie nákladů záměrně </w:t>
      </w:r>
      <w:r w:rsidR="00BF53EC" w:rsidRPr="004E2B72">
        <w:rPr>
          <w:rFonts w:cs="Arial"/>
          <w:b/>
        </w:rPr>
        <w:t xml:space="preserve">nezahrnuje </w:t>
      </w:r>
      <w:r w:rsidR="00284F5D" w:rsidRPr="004E2B72">
        <w:rPr>
          <w:rFonts w:cs="Arial"/>
          <w:b/>
        </w:rPr>
        <w:t>do výpočtu</w:t>
      </w:r>
      <w:r w:rsidR="006E0AD5">
        <w:rPr>
          <w:rFonts w:cs="Arial"/>
          <w:b/>
        </w:rPr>
        <w:t xml:space="preserve"> </w:t>
      </w:r>
      <w:r w:rsidR="006E0AD5" w:rsidRPr="004E2B72">
        <w:rPr>
          <w:rFonts w:cs="Arial"/>
        </w:rPr>
        <w:t xml:space="preserve">(resp. </w:t>
      </w:r>
      <w:r w:rsidR="006E0AD5">
        <w:rPr>
          <w:rFonts w:cs="Arial"/>
        </w:rPr>
        <w:t xml:space="preserve">zahrnuje </w:t>
      </w:r>
      <w:r w:rsidR="006E0AD5" w:rsidRPr="004E2B72">
        <w:rPr>
          <w:rFonts w:cs="Arial"/>
        </w:rPr>
        <w:t>pouze externí výdaje)</w:t>
      </w:r>
      <w:r w:rsidRPr="004E2B72">
        <w:rPr>
          <w:rFonts w:cs="Arial"/>
        </w:rPr>
        <w:t>, například</w:t>
      </w:r>
      <w:r w:rsidR="00284F5D" w:rsidRPr="004E2B72">
        <w:rPr>
          <w:rFonts w:cs="Arial"/>
        </w:rPr>
        <w:t xml:space="preserve"> </w:t>
      </w:r>
      <w:r w:rsidR="00034407" w:rsidRPr="004E2B72">
        <w:rPr>
          <w:rFonts w:cs="Arial"/>
        </w:rPr>
        <w:t xml:space="preserve">režijní a další </w:t>
      </w:r>
      <w:r w:rsidR="00BF53EC" w:rsidRPr="004E2B72">
        <w:rPr>
          <w:rFonts w:cs="Arial"/>
        </w:rPr>
        <w:t>typy nákladů</w:t>
      </w:r>
      <w:r w:rsidR="002255FF" w:rsidRPr="004E2B72">
        <w:rPr>
          <w:rFonts w:cs="Arial"/>
        </w:rPr>
        <w:t xml:space="preserve"> na zdroje</w:t>
      </w:r>
      <w:r w:rsidR="00BF53EC" w:rsidRPr="004E2B72">
        <w:rPr>
          <w:rFonts w:cs="Arial"/>
        </w:rPr>
        <w:t xml:space="preserve">, </w:t>
      </w:r>
      <w:r w:rsidR="00284F5D" w:rsidRPr="004E2B72">
        <w:rPr>
          <w:rFonts w:cs="Arial"/>
        </w:rPr>
        <w:t xml:space="preserve">které </w:t>
      </w:r>
      <w:r w:rsidR="002255FF" w:rsidRPr="004E2B72">
        <w:rPr>
          <w:rFonts w:cs="Arial"/>
        </w:rPr>
        <w:t xml:space="preserve">se </w:t>
      </w:r>
      <w:r w:rsidR="00284F5D" w:rsidRPr="004E2B72">
        <w:rPr>
          <w:rFonts w:cs="Arial"/>
        </w:rPr>
        <w:t xml:space="preserve">sice </w:t>
      </w:r>
      <w:r w:rsidR="002255FF" w:rsidRPr="004E2B72">
        <w:rPr>
          <w:rFonts w:cs="Arial"/>
        </w:rPr>
        <w:t>podílejí na</w:t>
      </w:r>
      <w:r w:rsidR="00284F5D" w:rsidRPr="004E2B72">
        <w:rPr>
          <w:rFonts w:cs="Arial"/>
        </w:rPr>
        <w:t xml:space="preserve"> každé </w:t>
      </w:r>
      <w:r w:rsidR="00D71459" w:rsidRPr="004E2B72">
        <w:rPr>
          <w:rFonts w:cs="Arial"/>
        </w:rPr>
        <w:t xml:space="preserve">interně zajišťované </w:t>
      </w:r>
      <w:r w:rsidR="00284F5D" w:rsidRPr="004E2B72">
        <w:rPr>
          <w:rFonts w:cs="Arial"/>
        </w:rPr>
        <w:t>ICT služb</w:t>
      </w:r>
      <w:r w:rsidR="002255FF" w:rsidRPr="004E2B72">
        <w:rPr>
          <w:rFonts w:cs="Arial"/>
        </w:rPr>
        <w:t>ě</w:t>
      </w:r>
      <w:r w:rsidR="00284F5D" w:rsidRPr="004E2B72">
        <w:rPr>
          <w:rFonts w:cs="Arial"/>
        </w:rPr>
        <w:t xml:space="preserve">, ale </w:t>
      </w:r>
      <w:r w:rsidR="00B6029E" w:rsidRPr="004E2B72">
        <w:rPr>
          <w:rFonts w:cs="Arial"/>
        </w:rPr>
        <w:t xml:space="preserve">které by </w:t>
      </w:r>
      <w:r w:rsidR="00B6029E" w:rsidRPr="004E2B72">
        <w:rPr>
          <w:rFonts w:cs="Arial"/>
          <w:b/>
        </w:rPr>
        <w:t xml:space="preserve">byly </w:t>
      </w:r>
      <w:r w:rsidR="00BF53EC" w:rsidRPr="004E2B72">
        <w:rPr>
          <w:rFonts w:cs="Arial"/>
          <w:b/>
        </w:rPr>
        <w:t xml:space="preserve">obtížně </w:t>
      </w:r>
      <w:r w:rsidR="00B6029E" w:rsidRPr="004E2B72">
        <w:rPr>
          <w:rFonts w:cs="Arial"/>
          <w:b/>
        </w:rPr>
        <w:t>zjistitelné</w:t>
      </w:r>
      <w:r w:rsidR="008E4ABF" w:rsidRPr="004E2B72">
        <w:rPr>
          <w:rFonts w:cs="Arial"/>
          <w:b/>
        </w:rPr>
        <w:t xml:space="preserve"> </w:t>
      </w:r>
      <w:r w:rsidR="00257562" w:rsidRPr="004E2B72">
        <w:rPr>
          <w:rFonts w:cs="Arial"/>
          <w:b/>
        </w:rPr>
        <w:t xml:space="preserve">nebo obtížně </w:t>
      </w:r>
      <w:r w:rsidR="00264B46" w:rsidRPr="004E2B72">
        <w:rPr>
          <w:rFonts w:cs="Arial"/>
          <w:b/>
        </w:rPr>
        <w:t>rozpočí</w:t>
      </w:r>
      <w:r w:rsidR="008E4ABF" w:rsidRPr="004E2B72">
        <w:rPr>
          <w:rFonts w:cs="Arial"/>
          <w:b/>
        </w:rPr>
        <w:t xml:space="preserve">tatelné </w:t>
      </w:r>
      <w:r w:rsidR="00B6029E" w:rsidRPr="004E2B72">
        <w:rPr>
          <w:rFonts w:cs="Arial"/>
        </w:rPr>
        <w:t xml:space="preserve">z paušální částky </w:t>
      </w:r>
      <w:r w:rsidR="008E4ABF" w:rsidRPr="004E2B72">
        <w:rPr>
          <w:rFonts w:cs="Arial"/>
        </w:rPr>
        <w:t>na jednotlivé ICT služby</w:t>
      </w:r>
      <w:r w:rsidR="00257562" w:rsidRPr="004E2B72">
        <w:rPr>
          <w:rFonts w:cs="Arial"/>
        </w:rPr>
        <w:t>.</w:t>
      </w:r>
      <w:r w:rsidR="00BF53EC" w:rsidRPr="004E2B72">
        <w:rPr>
          <w:rFonts w:cs="Arial"/>
        </w:rPr>
        <w:t xml:space="preserve"> </w:t>
      </w:r>
      <w:r w:rsidR="00284F5D" w:rsidRPr="004E2B72">
        <w:rPr>
          <w:rFonts w:cs="Arial"/>
        </w:rPr>
        <w:t xml:space="preserve">Jde o </w:t>
      </w:r>
      <w:r w:rsidR="00D07D4E" w:rsidRPr="004E2B72">
        <w:rPr>
          <w:rFonts w:cs="Arial"/>
        </w:rPr>
        <w:t xml:space="preserve">některé provozní režie (například </w:t>
      </w:r>
      <w:r w:rsidR="00BF53EC" w:rsidRPr="004E2B72">
        <w:rPr>
          <w:rFonts w:cs="Arial"/>
        </w:rPr>
        <w:t xml:space="preserve">náklady </w:t>
      </w:r>
      <w:r w:rsidR="00284F5D" w:rsidRPr="004E2B72">
        <w:rPr>
          <w:rFonts w:cs="Arial"/>
        </w:rPr>
        <w:t xml:space="preserve">na </w:t>
      </w:r>
      <w:r w:rsidR="00BF53EC" w:rsidRPr="004E2B72">
        <w:rPr>
          <w:rFonts w:cs="Arial"/>
        </w:rPr>
        <w:t>el</w:t>
      </w:r>
      <w:r w:rsidR="001871E3" w:rsidRPr="004E2B72">
        <w:rPr>
          <w:rFonts w:cs="Arial"/>
        </w:rPr>
        <w:t>ektrickou</w:t>
      </w:r>
      <w:r w:rsidR="00BF53EC" w:rsidRPr="004E2B72">
        <w:rPr>
          <w:rFonts w:cs="Arial"/>
        </w:rPr>
        <w:t xml:space="preserve"> energii</w:t>
      </w:r>
      <w:r w:rsidR="00034407" w:rsidRPr="004E2B72">
        <w:rPr>
          <w:rFonts w:cs="Arial"/>
        </w:rPr>
        <w:t>,</w:t>
      </w:r>
      <w:r w:rsidR="00BF53EC" w:rsidRPr="004E2B72">
        <w:rPr>
          <w:rFonts w:cs="Arial"/>
        </w:rPr>
        <w:t xml:space="preserve"> </w:t>
      </w:r>
      <w:r w:rsidRPr="004E2B72">
        <w:rPr>
          <w:rFonts w:cs="Arial"/>
        </w:rPr>
        <w:t>vytápění a chlazení</w:t>
      </w:r>
      <w:r w:rsidR="00DC49EA" w:rsidRPr="004E2B72">
        <w:rPr>
          <w:rFonts w:cs="Arial"/>
        </w:rPr>
        <w:t xml:space="preserve"> </w:t>
      </w:r>
      <w:r w:rsidR="001871E3" w:rsidRPr="004E2B72">
        <w:rPr>
          <w:rFonts w:cs="Arial"/>
        </w:rPr>
        <w:t>datových center</w:t>
      </w:r>
      <w:r w:rsidRPr="004E2B72">
        <w:rPr>
          <w:rFonts w:cs="Arial"/>
        </w:rPr>
        <w:t xml:space="preserve">, </w:t>
      </w:r>
      <w:r w:rsidR="00B6029E" w:rsidRPr="004E2B72">
        <w:rPr>
          <w:rFonts w:cs="Arial"/>
        </w:rPr>
        <w:t xml:space="preserve">datovou konektivitu, </w:t>
      </w:r>
      <w:r w:rsidR="00BF53EC" w:rsidRPr="004E2B72">
        <w:rPr>
          <w:rFonts w:cs="Arial"/>
        </w:rPr>
        <w:t>na spotřební materiál</w:t>
      </w:r>
      <w:r w:rsidR="00D07D4E" w:rsidRPr="004E2B72">
        <w:rPr>
          <w:rFonts w:cs="Arial"/>
        </w:rPr>
        <w:t>) a správní režie (například</w:t>
      </w:r>
      <w:r w:rsidR="00257562" w:rsidRPr="004E2B72">
        <w:rPr>
          <w:rFonts w:cs="Arial"/>
        </w:rPr>
        <w:t xml:space="preserve"> </w:t>
      </w:r>
      <w:r w:rsidRPr="004E2B72">
        <w:rPr>
          <w:rFonts w:cs="Arial"/>
        </w:rPr>
        <w:t xml:space="preserve">náklady na </w:t>
      </w:r>
      <w:r w:rsidR="00DD22BA" w:rsidRPr="004E2B72">
        <w:rPr>
          <w:rFonts w:cs="Arial"/>
        </w:rPr>
        <w:t>management instituce</w:t>
      </w:r>
      <w:r w:rsidR="00D07D4E" w:rsidRPr="004E2B72">
        <w:rPr>
          <w:rFonts w:cs="Arial"/>
        </w:rPr>
        <w:t xml:space="preserve"> a ICT</w:t>
      </w:r>
      <w:r w:rsidR="00DD22BA" w:rsidRPr="004E2B72">
        <w:rPr>
          <w:rFonts w:cs="Arial"/>
        </w:rPr>
        <w:t xml:space="preserve">, na správu budov </w:t>
      </w:r>
      <w:r w:rsidR="00034407" w:rsidRPr="004E2B72">
        <w:rPr>
          <w:rFonts w:cs="Arial"/>
        </w:rPr>
        <w:t>atd</w:t>
      </w:r>
      <w:r w:rsidR="00CF264F" w:rsidRPr="004E2B72">
        <w:rPr>
          <w:rFonts w:cs="Arial"/>
        </w:rPr>
        <w:t>.</w:t>
      </w:r>
      <w:r w:rsidR="00D07D4E" w:rsidRPr="004E2B72">
        <w:rPr>
          <w:rFonts w:cs="Arial"/>
        </w:rPr>
        <w:t>)</w:t>
      </w:r>
      <w:r w:rsidR="00BF53EC" w:rsidRPr="004E2B72">
        <w:rPr>
          <w:rFonts w:cs="Arial"/>
        </w:rPr>
        <w:t>.</w:t>
      </w:r>
      <w:r w:rsidR="00AE5D3B" w:rsidRPr="004E2B72">
        <w:rPr>
          <w:rFonts w:cs="Arial"/>
        </w:rPr>
        <w:t xml:space="preserve"> </w:t>
      </w:r>
      <w:r w:rsidR="00CD4996" w:rsidRPr="004E2B72">
        <w:rPr>
          <w:rFonts w:cs="Arial"/>
        </w:rPr>
        <w:t>Při srovnání dvou variant řešení ISVS vypustit jen ty náklady, které jsou v obou variantách shodné nebo alespoň velmi blízké.</w:t>
      </w:r>
    </w:p>
    <w:p w14:paraId="09F21616" w14:textId="109B39F9" w:rsidR="007A2002" w:rsidRDefault="00AE5D3B" w:rsidP="00073E78">
      <w:pPr>
        <w:pStyle w:val="Zkladntext"/>
        <w:jc w:val="both"/>
        <w:rPr>
          <w:rFonts w:cs="Arial"/>
        </w:rPr>
      </w:pPr>
      <w:r w:rsidRPr="004E2B72">
        <w:rPr>
          <w:rFonts w:cs="Arial"/>
        </w:rPr>
        <w:t>Tento fakt je třeba brát v</w:t>
      </w:r>
      <w:r w:rsidR="0026212B" w:rsidRPr="004E2B72">
        <w:rPr>
          <w:rFonts w:cs="Arial"/>
        </w:rPr>
        <w:t> </w:t>
      </w:r>
      <w:r w:rsidRPr="004E2B72">
        <w:rPr>
          <w:rFonts w:cs="Arial"/>
        </w:rPr>
        <w:t>úvahu</w:t>
      </w:r>
      <w:r w:rsidR="0026212B" w:rsidRPr="004E2B72">
        <w:rPr>
          <w:rFonts w:cs="Arial"/>
        </w:rPr>
        <w:t xml:space="preserve"> zejména</w:t>
      </w:r>
      <w:r w:rsidRPr="004E2B72">
        <w:rPr>
          <w:rFonts w:cs="Arial"/>
        </w:rPr>
        <w:t xml:space="preserve"> </w:t>
      </w:r>
      <w:r w:rsidR="00DC49EA" w:rsidRPr="004E2B72">
        <w:rPr>
          <w:rFonts w:cs="Arial"/>
        </w:rPr>
        <w:t>p</w:t>
      </w:r>
      <w:r w:rsidR="006659CE" w:rsidRPr="004E2B72">
        <w:rPr>
          <w:rFonts w:cs="Arial"/>
        </w:rPr>
        <w:t>ři</w:t>
      </w:r>
      <w:r w:rsidRPr="004E2B72">
        <w:rPr>
          <w:rFonts w:cs="Arial"/>
        </w:rPr>
        <w:t xml:space="preserve"> </w:t>
      </w:r>
      <w:r w:rsidRPr="004E2B72">
        <w:rPr>
          <w:rFonts w:cs="Arial"/>
          <w:b/>
        </w:rPr>
        <w:t>srovnáv</w:t>
      </w:r>
      <w:r w:rsidR="00DC49EA" w:rsidRPr="004E2B72">
        <w:rPr>
          <w:rFonts w:cs="Arial"/>
          <w:b/>
        </w:rPr>
        <w:t>ání</w:t>
      </w:r>
      <w:r w:rsidR="00E92EE5" w:rsidRPr="004E2B72">
        <w:rPr>
          <w:rFonts w:cs="Arial"/>
          <w:b/>
        </w:rPr>
        <w:t xml:space="preserve"> náklad</w:t>
      </w:r>
      <w:r w:rsidR="00DC49EA" w:rsidRPr="004E2B72">
        <w:rPr>
          <w:rFonts w:cs="Arial"/>
          <w:b/>
        </w:rPr>
        <w:t>ů</w:t>
      </w:r>
      <w:r w:rsidRPr="004E2B72">
        <w:rPr>
          <w:rFonts w:cs="Arial"/>
          <w:b/>
        </w:rPr>
        <w:t xml:space="preserve"> interní</w:t>
      </w:r>
      <w:r w:rsidR="00E92EE5" w:rsidRPr="004E2B72">
        <w:rPr>
          <w:rFonts w:cs="Arial"/>
          <w:b/>
        </w:rPr>
        <w:t>ho</w:t>
      </w:r>
      <w:r w:rsidRPr="004E2B72">
        <w:rPr>
          <w:rFonts w:cs="Arial"/>
          <w:b/>
        </w:rPr>
        <w:t xml:space="preserve"> zajišťování dané ICT služby s jejím externím zajištěním, tj. outsourcingem. </w:t>
      </w:r>
      <w:r w:rsidRPr="004E2B72">
        <w:rPr>
          <w:rFonts w:cs="Arial"/>
        </w:rPr>
        <w:t xml:space="preserve">Outsourcer </w:t>
      </w:r>
      <w:r w:rsidR="00B6029E" w:rsidRPr="004E2B72">
        <w:rPr>
          <w:rFonts w:cs="Arial"/>
        </w:rPr>
        <w:t xml:space="preserve">(externí dodavatel) </w:t>
      </w:r>
      <w:r w:rsidRPr="004E2B72">
        <w:rPr>
          <w:rFonts w:cs="Arial"/>
        </w:rPr>
        <w:t>pochopitelně tyto druhy nákladů do své služby započítává</w:t>
      </w:r>
      <w:r w:rsidR="00D07D4E" w:rsidRPr="004E2B72">
        <w:rPr>
          <w:rFonts w:cs="Arial"/>
        </w:rPr>
        <w:t>, resp. jako přímo nepřiřaditelné rozpočítává</w:t>
      </w:r>
      <w:r w:rsidRPr="004E2B72">
        <w:rPr>
          <w:rFonts w:cs="Arial"/>
        </w:rPr>
        <w:t>.</w:t>
      </w:r>
      <w:r w:rsidR="00E92EE5" w:rsidRPr="004E2B72">
        <w:rPr>
          <w:rFonts w:cs="Arial"/>
        </w:rPr>
        <w:t xml:space="preserve"> </w:t>
      </w:r>
      <w:r w:rsidR="006659CE" w:rsidRPr="004E2B72">
        <w:rPr>
          <w:rFonts w:cs="Arial"/>
        </w:rPr>
        <w:t xml:space="preserve">Pro srovnání interní varianty realizace služby s externí variantou </w:t>
      </w:r>
      <w:r w:rsidR="00CD4996" w:rsidRPr="004E2B72">
        <w:rPr>
          <w:rFonts w:cs="Arial"/>
        </w:rPr>
        <w:t xml:space="preserve">musí být všechny tyto nákladové kategorie a komponenty také uvažovány. K tomu </w:t>
      </w:r>
      <w:r w:rsidR="006659CE" w:rsidRPr="004E2B72">
        <w:rPr>
          <w:rFonts w:cs="Arial"/>
        </w:rPr>
        <w:t xml:space="preserve">bude vhodné expertním odhadem na úrovni celého IT rozpočtu organizace stanovit </w:t>
      </w:r>
      <w:r w:rsidR="00665428" w:rsidRPr="004E2B72">
        <w:rPr>
          <w:rFonts w:cs="Arial"/>
        </w:rPr>
        <w:t>vzorec rozpočítání</w:t>
      </w:r>
      <w:r w:rsidR="006659CE" w:rsidRPr="004E2B72">
        <w:rPr>
          <w:rFonts w:cs="Arial"/>
        </w:rPr>
        <w:t>, který by se uplatnil jako odhad pro nezahrnované náklady jednotlivé interně zajišťované služby.</w:t>
      </w:r>
    </w:p>
    <w:p w14:paraId="69B1AF2D" w14:textId="73E56B15" w:rsidR="000B0BF3" w:rsidRDefault="000B0BF3" w:rsidP="00073E78">
      <w:pPr>
        <w:pStyle w:val="Zkladntext"/>
        <w:jc w:val="both"/>
        <w:rPr>
          <w:rFonts w:cs="Arial"/>
        </w:rPr>
      </w:pPr>
      <w:r>
        <w:rPr>
          <w:rFonts w:cs="Arial"/>
        </w:rPr>
        <w:t>Jinou formou zjednodušení použití ukazatele TCO ISVS je upuštění od požadavku na využití plné struktury účelového členění nákladů (strom). V jedné z částí Žádosti o stanovisko OHA je příoustné a požadováno redukovat plné TCO ISVS na strukturu rozpočtu změnového záměru, a to pouze v členění investiční výdaje (CAPEX) a pro jejich podporu nezbytné provozní výdaje (OPEX).</w:t>
      </w:r>
    </w:p>
    <w:p w14:paraId="4349F8FE" w14:textId="5058A382" w:rsidR="000E431A" w:rsidRPr="004E2B72" w:rsidRDefault="000E431A" w:rsidP="00073E78">
      <w:pPr>
        <w:pStyle w:val="Zkladntext"/>
        <w:jc w:val="both"/>
        <w:rPr>
          <w:rFonts w:cs="Arial"/>
        </w:rPr>
      </w:pPr>
      <w:r w:rsidRPr="004E2B72">
        <w:rPr>
          <w:rFonts w:cs="Arial"/>
          <w:b/>
        </w:rPr>
        <w:t xml:space="preserve">Zjednodušení modelu TCO pro VS </w:t>
      </w:r>
      <w:r w:rsidRPr="004E2B72">
        <w:rPr>
          <w:rFonts w:cs="Arial"/>
        </w:rPr>
        <w:t xml:space="preserve">spočívá </w:t>
      </w:r>
      <w:r w:rsidRPr="004E2B72">
        <w:rPr>
          <w:rFonts w:cs="Arial"/>
          <w:b/>
        </w:rPr>
        <w:t xml:space="preserve">(aktuálně) </w:t>
      </w:r>
      <w:r w:rsidRPr="004E2B72">
        <w:rPr>
          <w:rFonts w:cs="Arial"/>
        </w:rPr>
        <w:t xml:space="preserve">pro většinu způsobů využití ukazatele především v možnosti uvažovat </w:t>
      </w:r>
      <w:r w:rsidRPr="004E2B72">
        <w:rPr>
          <w:rFonts w:cs="Arial"/>
          <w:b/>
        </w:rPr>
        <w:t>pouze náklady přímo související s řešením</w:t>
      </w:r>
      <w:r w:rsidRPr="004E2B72">
        <w:rPr>
          <w:rFonts w:cs="Arial"/>
        </w:rPr>
        <w:t>, a to externí a z interních zejména pouze mzdové, a neuvažovat náklady nepřímé, režijní</w:t>
      </w:r>
      <w:r>
        <w:rPr>
          <w:rFonts w:cs="Arial"/>
        </w:rPr>
        <w:t>, viz vysvětlení pojmů struktury nákladů v následující kapitole</w:t>
      </w:r>
      <w:r w:rsidRPr="004E2B72">
        <w:rPr>
          <w:rFonts w:cs="Arial"/>
        </w:rPr>
        <w:t xml:space="preserve">. Dále pak v možnosti </w:t>
      </w:r>
      <w:r w:rsidRPr="004E2B72">
        <w:rPr>
          <w:rFonts w:cs="Arial"/>
          <w:b/>
        </w:rPr>
        <w:t>neuvažovat při výpočtu nákladů ICT služeb rozdíl mezi fixními náklady</w:t>
      </w:r>
      <w:r w:rsidRPr="004E2B72">
        <w:rPr>
          <w:rFonts w:cs="Arial"/>
        </w:rPr>
        <w:t>, neměnnými dle množství služby</w:t>
      </w:r>
      <w:r w:rsidRPr="004E2B72">
        <w:rPr>
          <w:rFonts w:cs="Arial"/>
          <w:b/>
        </w:rPr>
        <w:t xml:space="preserve"> a variabilními náklady,</w:t>
      </w:r>
      <w:r w:rsidRPr="004E2B72">
        <w:rPr>
          <w:rFonts w:cs="Arial"/>
        </w:rPr>
        <w:t xml:space="preserve"> úměrnými množství dodávané ICT služby. Pozor však na vypuštění nákladů, které by mohlo výrazně zkreslit porovnání dvou variant řešení.</w:t>
      </w:r>
    </w:p>
    <w:p w14:paraId="2D4A5F6B" w14:textId="0F59CADC" w:rsidR="00D07D4E" w:rsidRPr="004E2B72" w:rsidRDefault="00D07D4E" w:rsidP="00073E78">
      <w:pPr>
        <w:pStyle w:val="Zkladntext"/>
        <w:jc w:val="both"/>
        <w:rPr>
          <w:rFonts w:cs="Arial"/>
        </w:rPr>
      </w:pPr>
      <w:r w:rsidRPr="004E2B72">
        <w:rPr>
          <w:rFonts w:cs="Arial"/>
        </w:rPr>
        <w:t xml:space="preserve">Z doby přípravy a zavedení služby nebo investice do užívání se </w:t>
      </w:r>
      <w:r w:rsidR="000B0BF3">
        <w:rPr>
          <w:rFonts w:cs="Arial"/>
        </w:rPr>
        <w:t xml:space="preserve">pro TCO ISVS </w:t>
      </w:r>
      <w:r w:rsidRPr="004E2B72">
        <w:rPr>
          <w:rFonts w:cs="Arial"/>
        </w:rPr>
        <w:t>započítávají všechny odpovídající externí výdaje</w:t>
      </w:r>
      <w:r w:rsidR="00100373" w:rsidRPr="004E2B72">
        <w:rPr>
          <w:rFonts w:cs="Arial"/>
        </w:rPr>
        <w:t xml:space="preserve"> a interní náklady</w:t>
      </w:r>
      <w:r w:rsidRPr="004E2B72">
        <w:rPr>
          <w:rFonts w:cs="Arial"/>
        </w:rPr>
        <w:t>, ale doba sama se do rozhodného období 5 let nezapočítává. Rozhodnou dobou 5 let (nebo v odůvodněných případech méně) se myslí doba skutečného (produktivního) užívání ICT služby, ať již byla služba pořízena jakkoli.</w:t>
      </w:r>
    </w:p>
    <w:p w14:paraId="7C759F94" w14:textId="434E8BA3" w:rsidR="00575AD6" w:rsidRPr="004E2B72" w:rsidRDefault="00575AD6" w:rsidP="00073E78">
      <w:pPr>
        <w:pStyle w:val="Zkladntext"/>
        <w:jc w:val="both"/>
        <w:rPr>
          <w:rFonts w:cs="Arial"/>
        </w:rPr>
      </w:pPr>
      <w:r w:rsidRPr="004E2B72">
        <w:rPr>
          <w:rFonts w:cs="Arial"/>
        </w:rPr>
        <w:t>Z toho plyne, mimo jiné, že skutečné období, pro nějž budou plánovány náklady a jež je tvořeno celým obdobím přípravy a 5 lety užívání ICT služby, bude často na místo pouhých 5 let spíše 6 – 8 let, nebo i více. Pro výpočet průměrných ročních nákladů na ICT službu se ale i v takovém případě použije pouze 5 let jejího produktivního užívání.</w:t>
      </w:r>
    </w:p>
    <w:p w14:paraId="11EB851B" w14:textId="170D6E22" w:rsidR="00D07D4E" w:rsidRPr="004E2B72" w:rsidRDefault="00D07D4E" w:rsidP="00073E78">
      <w:pPr>
        <w:pStyle w:val="Zkladntext"/>
        <w:jc w:val="both"/>
        <w:rPr>
          <w:rFonts w:cs="Arial"/>
        </w:rPr>
      </w:pPr>
      <w:r w:rsidRPr="004E2B72">
        <w:rPr>
          <w:rFonts w:cs="Arial"/>
        </w:rPr>
        <w:t xml:space="preserve">U řešení, jehož potřeba (podporovaná veřejná služba) pomine dříve než za 5 let nebo jehož životnost skončí dříve, a to bez náhrady navazujícím řešením, tj. u nějž </w:t>
      </w:r>
      <w:r w:rsidRPr="004E2B72">
        <w:rPr>
          <w:rFonts w:cs="Arial"/>
          <w:b/>
        </w:rPr>
        <w:t>přestane být ICT služba využívána dříve</w:t>
      </w:r>
      <w:r w:rsidRPr="004E2B72">
        <w:rPr>
          <w:rFonts w:cs="Arial"/>
        </w:rPr>
        <w:t xml:space="preserve"> než za 5 let, se jako doba TCO, a jako rozhodná doba pro výši výdajů pro žádost o stanovisko OHA, uvažuje tato skutečná</w:t>
      </w:r>
      <w:r w:rsidR="00100373" w:rsidRPr="004E2B72">
        <w:rPr>
          <w:rFonts w:cs="Arial"/>
        </w:rPr>
        <w:t xml:space="preserve"> kratší doba užívání (provozu)</w:t>
      </w:r>
      <w:r w:rsidRPr="004E2B72">
        <w:rPr>
          <w:rFonts w:cs="Arial"/>
        </w:rPr>
        <w:t>. Tato kratší doba slouží v tom případě také pro výpočet odpovídajících průměrných ročních výdajů</w:t>
      </w:r>
      <w:r w:rsidR="00100373" w:rsidRPr="004E2B72">
        <w:rPr>
          <w:rFonts w:cs="Arial"/>
        </w:rPr>
        <w:t xml:space="preserve"> nebo nákladů.</w:t>
      </w:r>
    </w:p>
    <w:p w14:paraId="1069AF2F" w14:textId="5A85C541" w:rsidR="00B47B1D" w:rsidRPr="004E2B72" w:rsidRDefault="00B47B1D" w:rsidP="00073E78">
      <w:pPr>
        <w:pStyle w:val="Zkladntext"/>
        <w:jc w:val="both"/>
        <w:rPr>
          <w:rFonts w:cs="Arial"/>
        </w:rPr>
      </w:pPr>
    </w:p>
    <w:p w14:paraId="62E8FD4B" w14:textId="4FCB4E74" w:rsidR="00E95534" w:rsidRPr="004E2B72" w:rsidRDefault="00E95534" w:rsidP="00073E78">
      <w:pPr>
        <w:pStyle w:val="Nadpis2"/>
        <w:jc w:val="both"/>
        <w:rPr>
          <w:rFonts w:cs="Arial"/>
        </w:rPr>
      </w:pPr>
      <w:bookmarkStart w:id="8" w:name="_Toc120784665"/>
      <w:r w:rsidRPr="004E2B72">
        <w:rPr>
          <w:rFonts w:cs="Arial"/>
        </w:rPr>
        <w:t>Struktura nákladů</w:t>
      </w:r>
      <w:bookmarkEnd w:id="8"/>
    </w:p>
    <w:p w14:paraId="3E586856" w14:textId="77777777" w:rsidR="00E474B6" w:rsidRDefault="003617C2" w:rsidP="00073E78">
      <w:pPr>
        <w:pStyle w:val="Zkladntext"/>
        <w:jc w:val="both"/>
        <w:rPr>
          <w:rFonts w:cs="Arial"/>
        </w:rPr>
      </w:pPr>
      <w:r w:rsidRPr="004E2B72">
        <w:rPr>
          <w:rFonts w:cs="Arial"/>
        </w:rPr>
        <w:t xml:space="preserve">Pro správnou identifikaci nákladů je </w:t>
      </w:r>
      <w:r w:rsidR="006659CE" w:rsidRPr="004E2B72">
        <w:rPr>
          <w:rFonts w:cs="Arial"/>
        </w:rPr>
        <w:t xml:space="preserve">nutné </w:t>
      </w:r>
      <w:r w:rsidRPr="004E2B72">
        <w:rPr>
          <w:rFonts w:cs="Arial"/>
        </w:rPr>
        <w:t xml:space="preserve">nejprve </w:t>
      </w:r>
      <w:r w:rsidR="006659CE" w:rsidRPr="00C80226">
        <w:rPr>
          <w:rFonts w:cs="Arial"/>
          <w:b/>
          <w:bCs/>
        </w:rPr>
        <w:t>r</w:t>
      </w:r>
      <w:r w:rsidR="006659CE" w:rsidRPr="004E2B72">
        <w:rPr>
          <w:rFonts w:cs="Arial"/>
          <w:b/>
        </w:rPr>
        <w:t>ozlišovat</w:t>
      </w:r>
      <w:r w:rsidRPr="004E2B72">
        <w:rPr>
          <w:rFonts w:cs="Arial"/>
          <w:b/>
        </w:rPr>
        <w:t xml:space="preserve"> </w:t>
      </w:r>
      <w:r w:rsidR="006659CE" w:rsidRPr="004E2B72">
        <w:rPr>
          <w:rFonts w:cs="Arial"/>
          <w:b/>
        </w:rPr>
        <w:t xml:space="preserve">mezi </w:t>
      </w:r>
      <w:r w:rsidRPr="004E2B72">
        <w:rPr>
          <w:rFonts w:cs="Arial"/>
          <w:b/>
        </w:rPr>
        <w:t>výdaji a náklady</w:t>
      </w:r>
      <w:r w:rsidRPr="004E2B72">
        <w:rPr>
          <w:rFonts w:cs="Arial"/>
        </w:rPr>
        <w:t xml:space="preserve">. </w:t>
      </w:r>
    </w:p>
    <w:p w14:paraId="46769B7B" w14:textId="0A01B1E2" w:rsidR="00C61431" w:rsidRDefault="003617C2" w:rsidP="00C80226">
      <w:pPr>
        <w:pStyle w:val="Zkladntext"/>
        <w:numPr>
          <w:ilvl w:val="0"/>
          <w:numId w:val="57"/>
        </w:numPr>
        <w:tabs>
          <w:tab w:val="clear" w:pos="284"/>
        </w:tabs>
        <w:ind w:left="567" w:hanging="283"/>
        <w:jc w:val="both"/>
        <w:rPr>
          <w:rFonts w:cs="Arial"/>
        </w:rPr>
      </w:pPr>
      <w:r w:rsidRPr="00C80226">
        <w:rPr>
          <w:rFonts w:cs="Arial"/>
          <w:b/>
          <w:bCs/>
          <w:u w:val="single"/>
        </w:rPr>
        <w:t>Výdaje</w:t>
      </w:r>
      <w:r w:rsidRPr="004E2B72">
        <w:rPr>
          <w:rStyle w:val="Znakapoznpodarou"/>
          <w:rFonts w:cs="Arial"/>
        </w:rPr>
        <w:footnoteReference w:id="10"/>
      </w:r>
      <w:r w:rsidRPr="004E2B72">
        <w:rPr>
          <w:rFonts w:cs="Arial"/>
        </w:rPr>
        <w:t xml:space="preserve"> jsou peněžní toky v organizaci (cash flow) – jedná se o úbytky peněz.</w:t>
      </w:r>
    </w:p>
    <w:p w14:paraId="49036BC6" w14:textId="1FF633B0" w:rsidR="00254361" w:rsidRDefault="000B2D37" w:rsidP="00C80226">
      <w:pPr>
        <w:pStyle w:val="Zkladntext"/>
        <w:numPr>
          <w:ilvl w:val="0"/>
          <w:numId w:val="57"/>
        </w:numPr>
        <w:tabs>
          <w:tab w:val="clear" w:pos="284"/>
        </w:tabs>
        <w:ind w:left="567" w:hanging="283"/>
        <w:jc w:val="both"/>
        <w:rPr>
          <w:rFonts w:cs="Arial"/>
        </w:rPr>
      </w:pPr>
      <w:r>
        <w:rPr>
          <w:rFonts w:cs="Arial"/>
          <w:b/>
          <w:bCs/>
          <w:u w:val="single"/>
        </w:rPr>
        <w:t>N</w:t>
      </w:r>
      <w:r w:rsidR="003617C2" w:rsidRPr="00C744C1">
        <w:rPr>
          <w:rFonts w:cs="Arial"/>
          <w:b/>
          <w:bCs/>
          <w:u w:val="single"/>
        </w:rPr>
        <w:t>áklady</w:t>
      </w:r>
      <w:r w:rsidR="003617C2" w:rsidRPr="004E2B72">
        <w:rPr>
          <w:rStyle w:val="Znakapoznpodarou"/>
          <w:rFonts w:cs="Arial"/>
        </w:rPr>
        <w:footnoteReference w:id="11"/>
      </w:r>
      <w:r w:rsidR="003617C2" w:rsidRPr="004E2B72">
        <w:rPr>
          <w:rFonts w:cs="Arial"/>
        </w:rPr>
        <w:t xml:space="preserve"> jsou </w:t>
      </w:r>
      <w:r>
        <w:rPr>
          <w:rFonts w:cs="Arial"/>
        </w:rPr>
        <w:t>o</w:t>
      </w:r>
      <w:r w:rsidRPr="004E2B72">
        <w:rPr>
          <w:rFonts w:cs="Arial"/>
        </w:rPr>
        <w:t xml:space="preserve">proti tomu </w:t>
      </w:r>
      <w:r w:rsidR="003617C2" w:rsidRPr="004E2B72">
        <w:rPr>
          <w:rFonts w:cs="Arial"/>
        </w:rPr>
        <w:t>hmotné toky v peněžním vyjádření</w:t>
      </w:r>
      <w:r w:rsidR="00254361">
        <w:rPr>
          <w:rFonts w:cs="Arial"/>
        </w:rPr>
        <w:t xml:space="preserve"> </w:t>
      </w:r>
      <w:r w:rsidR="003617C2" w:rsidRPr="004E2B72">
        <w:rPr>
          <w:rFonts w:cs="Arial"/>
        </w:rPr>
        <w:t>– tedy nemusí se ihned jednat o úbytky peněz</w:t>
      </w:r>
      <w:r w:rsidR="003617C2" w:rsidRPr="004E2B72">
        <w:rPr>
          <w:rFonts w:cs="Arial"/>
          <w:vertAlign w:val="superscript"/>
        </w:rPr>
        <w:footnoteReference w:id="12"/>
      </w:r>
      <w:r w:rsidR="002B3B03" w:rsidRPr="004E2B72">
        <w:rPr>
          <w:rFonts w:cs="Arial"/>
        </w:rPr>
        <w:t xml:space="preserve"> </w:t>
      </w:r>
      <w:r w:rsidR="00FE6071" w:rsidRPr="004E2B72">
        <w:rPr>
          <w:rStyle w:val="Znakapoznpodarou"/>
          <w:rFonts w:cs="Arial"/>
        </w:rPr>
        <w:footnoteReference w:id="13"/>
      </w:r>
      <w:r w:rsidR="003617C2" w:rsidRPr="004E2B72">
        <w:rPr>
          <w:rFonts w:cs="Arial"/>
        </w:rPr>
        <w:t xml:space="preserve">. </w:t>
      </w:r>
    </w:p>
    <w:p w14:paraId="23139E3B" w14:textId="72D64FDC" w:rsidR="003617C2" w:rsidRDefault="003617C2" w:rsidP="00073E78">
      <w:pPr>
        <w:pStyle w:val="Zkladntext"/>
        <w:jc w:val="both"/>
        <w:rPr>
          <w:rFonts w:cs="Arial"/>
        </w:rPr>
      </w:pPr>
      <w:r w:rsidRPr="004E2B72">
        <w:rPr>
          <w:rFonts w:cs="Arial"/>
        </w:rPr>
        <w:t>Výdaje mohou náklady předcházet, provázet nebo následovat.</w:t>
      </w:r>
    </w:p>
    <w:p w14:paraId="22C28FA1" w14:textId="6AE1AC0F" w:rsidR="00C744C1" w:rsidRPr="004E2B72" w:rsidRDefault="00C744C1" w:rsidP="00073E78">
      <w:pPr>
        <w:pStyle w:val="Zkladntext"/>
        <w:jc w:val="both"/>
        <w:rPr>
          <w:rFonts w:cs="Arial"/>
        </w:rPr>
      </w:pPr>
      <w:r>
        <w:rPr>
          <w:rFonts w:cs="Arial"/>
        </w:rPr>
        <w:t xml:space="preserve">Za náklady jsou v kalkulacích považovány peněžně vyjádřené spotřeby zdrojů (lidí, materiálů, energií, licencí) </w:t>
      </w:r>
      <w:r w:rsidR="00665D53">
        <w:rPr>
          <w:rFonts w:cs="Arial"/>
        </w:rPr>
        <w:t>a/</w:t>
      </w:r>
      <w:r>
        <w:rPr>
          <w:rFonts w:cs="Arial"/>
        </w:rPr>
        <w:t>nebo alikvotní část</w:t>
      </w:r>
      <w:r w:rsidR="003809E4">
        <w:rPr>
          <w:rFonts w:cs="Arial"/>
        </w:rPr>
        <w:t>i</w:t>
      </w:r>
      <w:r>
        <w:rPr>
          <w:rFonts w:cs="Arial"/>
        </w:rPr>
        <w:t xml:space="preserve"> prvotních </w:t>
      </w:r>
      <w:r w:rsidR="00665D53">
        <w:rPr>
          <w:rFonts w:cs="Arial"/>
        </w:rPr>
        <w:t xml:space="preserve">(dlouhodobých) </w:t>
      </w:r>
      <w:r>
        <w:rPr>
          <w:rFonts w:cs="Arial"/>
        </w:rPr>
        <w:t>investic (například účetní odpisy nově pořízených technologií</w:t>
      </w:r>
      <w:r w:rsidR="00665D53">
        <w:rPr>
          <w:rFonts w:cs="Arial"/>
        </w:rPr>
        <w:t>), vztažené k nějaké produkční jednotce, například k ročnímu produktivnímu provozu informačního systému nebo jeho jednotlivé služby.</w:t>
      </w:r>
    </w:p>
    <w:p w14:paraId="0FB08768" w14:textId="54193B47" w:rsidR="003809E4" w:rsidRDefault="001D243A" w:rsidP="00073E78">
      <w:pPr>
        <w:pStyle w:val="Zkladntext"/>
        <w:jc w:val="both"/>
        <w:rPr>
          <w:rFonts w:cs="Arial"/>
        </w:rPr>
      </w:pPr>
      <w:r w:rsidRPr="004E2B72">
        <w:rPr>
          <w:rFonts w:cs="Arial"/>
        </w:rPr>
        <w:t xml:space="preserve">Pro plánování a řízení nákladů </w:t>
      </w:r>
      <w:r w:rsidR="006513B7" w:rsidRPr="004E2B72">
        <w:rPr>
          <w:rFonts w:cs="Arial"/>
        </w:rPr>
        <w:t>j</w:t>
      </w:r>
      <w:r w:rsidR="003617C2" w:rsidRPr="004E2B72">
        <w:rPr>
          <w:rFonts w:cs="Arial"/>
        </w:rPr>
        <w:t xml:space="preserve">e třeba rozlišovat </w:t>
      </w:r>
      <w:r w:rsidR="003809E4">
        <w:rPr>
          <w:rFonts w:cs="Arial"/>
        </w:rPr>
        <w:t xml:space="preserve">jak </w:t>
      </w:r>
      <w:r w:rsidR="003617C2" w:rsidRPr="004E2B72">
        <w:rPr>
          <w:rFonts w:cs="Arial"/>
        </w:rPr>
        <w:t xml:space="preserve">mezi </w:t>
      </w:r>
      <w:r w:rsidR="006513B7" w:rsidRPr="004E2B72">
        <w:rPr>
          <w:rFonts w:cs="Arial"/>
        </w:rPr>
        <w:t>výdaji a náklady</w:t>
      </w:r>
      <w:r w:rsidR="003809E4">
        <w:rPr>
          <w:rFonts w:cs="Arial"/>
        </w:rPr>
        <w:t xml:space="preserve">, respektive uvažovány by měly být náklady, nikoli výdaje, tak zohledňovat jejich charakter a periodicitu, tj. rozlišovat mezi náklady na pořízení, obvykle jednorázovými a náklady </w:t>
      </w:r>
      <w:r w:rsidR="00C61431">
        <w:rPr>
          <w:rFonts w:cs="Arial"/>
        </w:rPr>
        <w:t xml:space="preserve">na zajištění provozu, </w:t>
      </w:r>
      <w:r w:rsidR="003809E4">
        <w:rPr>
          <w:rFonts w:cs="Arial"/>
        </w:rPr>
        <w:t xml:space="preserve">obvykle </w:t>
      </w:r>
      <w:r w:rsidR="00C61431">
        <w:rPr>
          <w:rFonts w:cs="Arial"/>
        </w:rPr>
        <w:t>opakovanými</w:t>
      </w:r>
      <w:r w:rsidR="006659CE" w:rsidRPr="004E2B72">
        <w:rPr>
          <w:rFonts w:cs="Arial"/>
        </w:rPr>
        <w:t>.</w:t>
      </w:r>
      <w:r w:rsidR="003617C2" w:rsidRPr="004E2B72">
        <w:rPr>
          <w:rFonts w:cs="Arial"/>
        </w:rPr>
        <w:t xml:space="preserve"> </w:t>
      </w:r>
    </w:p>
    <w:p w14:paraId="16D78684" w14:textId="6703F925" w:rsidR="003617C2" w:rsidRPr="004E2B72" w:rsidRDefault="006659CE" w:rsidP="00073E78">
      <w:pPr>
        <w:pStyle w:val="Zkladntext"/>
        <w:jc w:val="both"/>
        <w:rPr>
          <w:rFonts w:cs="Arial"/>
        </w:rPr>
      </w:pPr>
      <w:r w:rsidRPr="004E2B72">
        <w:rPr>
          <w:rFonts w:cs="Arial"/>
        </w:rPr>
        <w:t>T</w:t>
      </w:r>
      <w:r w:rsidR="003617C2" w:rsidRPr="004E2B72">
        <w:rPr>
          <w:rFonts w:cs="Arial"/>
        </w:rPr>
        <w:t xml:space="preserve">ato metodika </w:t>
      </w:r>
      <w:r w:rsidRPr="004E2B72">
        <w:rPr>
          <w:rFonts w:cs="Arial"/>
        </w:rPr>
        <w:t xml:space="preserve">ale </w:t>
      </w:r>
      <w:r w:rsidR="003617C2" w:rsidRPr="004E2B72">
        <w:rPr>
          <w:rFonts w:cs="Arial"/>
        </w:rPr>
        <w:t xml:space="preserve">v odůvodněných případech umožňuje nahradit </w:t>
      </w:r>
      <w:r w:rsidR="003809E4">
        <w:rPr>
          <w:rFonts w:cs="Arial"/>
        </w:rPr>
        <w:t>náklady výdaji</w:t>
      </w:r>
      <w:r w:rsidR="003617C2" w:rsidRPr="004E2B72">
        <w:rPr>
          <w:rFonts w:cs="Arial"/>
        </w:rPr>
        <w:t>. Například při náhradě majetkového nákladu (odpisu investice) jednorázovým investičním výdajem</w:t>
      </w:r>
      <w:r w:rsidR="003809E4">
        <w:rPr>
          <w:rFonts w:cs="Arial"/>
        </w:rPr>
        <w:t>. Zejména proto, že ICT majetek je z hlediska daňových odpisů</w:t>
      </w:r>
      <w:r w:rsidR="003809E4">
        <w:rPr>
          <w:rStyle w:val="Znakapoznpodarou"/>
          <w:rFonts w:cs="Arial"/>
        </w:rPr>
        <w:footnoteReference w:id="14"/>
      </w:r>
      <w:r w:rsidR="003809E4">
        <w:rPr>
          <w:rFonts w:cs="Arial"/>
        </w:rPr>
        <w:t xml:space="preserve"> řazen do odpisové skupiny 1 a má dobu odepisování 3 roky</w:t>
      </w:r>
      <w:r w:rsidR="003617C2" w:rsidRPr="004E2B72">
        <w:rPr>
          <w:rFonts w:cs="Arial"/>
        </w:rPr>
        <w:t>.</w:t>
      </w:r>
      <w:r w:rsidR="003809E4">
        <w:rPr>
          <w:rFonts w:cs="Arial"/>
        </w:rPr>
        <w:t xml:space="preserve"> Což je doba, která jistě uplyne v rámci rozhodného období 5 let pro ukazatel TCO ISVS.</w:t>
      </w:r>
    </w:p>
    <w:p w14:paraId="49B3C24F" w14:textId="6B6DF0D2" w:rsidR="006659CE" w:rsidRPr="004E2B72" w:rsidRDefault="006659CE" w:rsidP="00073E78">
      <w:pPr>
        <w:pStyle w:val="Zkladntext"/>
        <w:keepNext/>
        <w:jc w:val="both"/>
        <w:rPr>
          <w:rFonts w:cs="Arial"/>
        </w:rPr>
      </w:pPr>
      <w:r w:rsidRPr="004E2B72">
        <w:rPr>
          <w:rFonts w:cs="Arial"/>
        </w:rPr>
        <w:t xml:space="preserve">Následně je jak pro sběr, tak pro prezentaci údajů </w:t>
      </w:r>
      <w:r w:rsidR="00FC1DAE" w:rsidRPr="004E2B72">
        <w:rPr>
          <w:rFonts w:cs="Arial"/>
        </w:rPr>
        <w:t xml:space="preserve">možno </w:t>
      </w:r>
      <w:r w:rsidRPr="004E2B72">
        <w:rPr>
          <w:rFonts w:cs="Arial"/>
        </w:rPr>
        <w:t xml:space="preserve">pohlížet na strukturu výdajů a zejména nákladů z mnoha různých úhlů pohledu. Pro další práci v rámci této metodiky je důležité využívat následující členění: </w:t>
      </w:r>
    </w:p>
    <w:p w14:paraId="370232D5" w14:textId="4A16E3EF" w:rsidR="003617C2" w:rsidRPr="004E2B72" w:rsidRDefault="006659CE" w:rsidP="00073E78">
      <w:pPr>
        <w:pStyle w:val="Zkladntext"/>
        <w:jc w:val="both"/>
        <w:rPr>
          <w:rFonts w:cs="Arial"/>
        </w:rPr>
      </w:pPr>
      <w:r w:rsidRPr="004E2B72">
        <w:rPr>
          <w:rFonts w:cs="Arial"/>
          <w:b/>
        </w:rPr>
        <w:t>Č</w:t>
      </w:r>
      <w:r w:rsidR="003617C2" w:rsidRPr="004E2B72">
        <w:rPr>
          <w:rFonts w:cs="Arial"/>
          <w:b/>
        </w:rPr>
        <w:t>lenění výdajů</w:t>
      </w:r>
      <w:r w:rsidR="00FC2CA3" w:rsidRPr="004E2B72">
        <w:rPr>
          <w:rFonts w:cs="Arial"/>
        </w:rPr>
        <w:t xml:space="preserve"> (úbytků peněz)</w:t>
      </w:r>
      <w:r w:rsidR="003809E4">
        <w:rPr>
          <w:rFonts w:cs="Arial"/>
        </w:rPr>
        <w:t xml:space="preserve"> podle účetnictví (rozpočetnictví)</w:t>
      </w:r>
      <w:r w:rsidR="00FC2CA3" w:rsidRPr="004E2B72">
        <w:rPr>
          <w:rFonts w:cs="Arial"/>
        </w:rPr>
        <w:t>:</w:t>
      </w:r>
    </w:p>
    <w:p w14:paraId="5E13172D" w14:textId="13822C57" w:rsidR="003617C2" w:rsidRPr="004E2B72" w:rsidRDefault="003617C2" w:rsidP="00073E78">
      <w:pPr>
        <w:pStyle w:val="Zkladntext"/>
        <w:numPr>
          <w:ilvl w:val="0"/>
          <w:numId w:val="32"/>
        </w:numPr>
        <w:jc w:val="both"/>
        <w:rPr>
          <w:rFonts w:cs="Arial"/>
        </w:rPr>
      </w:pPr>
      <w:r w:rsidRPr="004E2B72">
        <w:rPr>
          <w:rFonts w:cs="Arial"/>
        </w:rPr>
        <w:t xml:space="preserve">podle </w:t>
      </w:r>
      <w:r w:rsidRPr="004E2B72">
        <w:rPr>
          <w:rFonts w:cs="Arial"/>
          <w:b/>
        </w:rPr>
        <w:t>rozpočtového pohledu</w:t>
      </w:r>
      <w:r w:rsidRPr="004E2B72">
        <w:rPr>
          <w:rFonts w:cs="Arial"/>
        </w:rPr>
        <w:t xml:space="preserve"> </w:t>
      </w:r>
      <w:r w:rsidR="00A70FF7" w:rsidRPr="004E2B72">
        <w:rPr>
          <w:rFonts w:cs="Arial"/>
        </w:rPr>
        <w:t xml:space="preserve">(druhového, položkového členění - na 1. úrovní tříd) </w:t>
      </w:r>
      <w:r w:rsidRPr="004E2B72">
        <w:rPr>
          <w:rFonts w:cs="Arial"/>
        </w:rPr>
        <w:t>rezervovaných prostředků na výdaje:</w:t>
      </w:r>
    </w:p>
    <w:p w14:paraId="1D6D1176" w14:textId="112C7ACE" w:rsidR="003617C2" w:rsidRPr="004E2B72" w:rsidRDefault="003617C2" w:rsidP="00073E78">
      <w:pPr>
        <w:pStyle w:val="Zkladntext"/>
        <w:numPr>
          <w:ilvl w:val="1"/>
          <w:numId w:val="32"/>
        </w:numPr>
        <w:jc w:val="both"/>
        <w:rPr>
          <w:rFonts w:cs="Arial"/>
        </w:rPr>
      </w:pPr>
      <w:r w:rsidRPr="004E2B72">
        <w:rPr>
          <w:rFonts w:cs="Arial"/>
        </w:rPr>
        <w:t>investiční</w:t>
      </w:r>
      <w:r w:rsidRPr="004E2B72">
        <w:rPr>
          <w:rStyle w:val="Znakapoznpodarou"/>
          <w:rFonts w:cs="Arial"/>
        </w:rPr>
        <w:footnoteReference w:id="15"/>
      </w:r>
      <w:r w:rsidRPr="004E2B72">
        <w:rPr>
          <w:rFonts w:cs="Arial"/>
        </w:rPr>
        <w:t xml:space="preserve"> - zvyšující </w:t>
      </w:r>
      <w:r w:rsidR="003B36B1">
        <w:rPr>
          <w:rFonts w:cs="Arial"/>
        </w:rPr>
        <w:t xml:space="preserve">účetní </w:t>
      </w:r>
      <w:r w:rsidRPr="004E2B72">
        <w:rPr>
          <w:rFonts w:cs="Arial"/>
        </w:rPr>
        <w:t xml:space="preserve">hodnotu </w:t>
      </w:r>
      <w:r w:rsidR="007E099C">
        <w:rPr>
          <w:rFonts w:cs="Arial"/>
        </w:rPr>
        <w:t xml:space="preserve">(pořizovací cenu) </w:t>
      </w:r>
      <w:r w:rsidRPr="004E2B72">
        <w:rPr>
          <w:rFonts w:cs="Arial"/>
        </w:rPr>
        <w:t>ICT aktiv</w:t>
      </w:r>
    </w:p>
    <w:p w14:paraId="7C4395DC" w14:textId="48797CF1" w:rsidR="003617C2" w:rsidRPr="004E2B72" w:rsidRDefault="004F7122" w:rsidP="00073E78">
      <w:pPr>
        <w:pStyle w:val="Zkladntext"/>
        <w:numPr>
          <w:ilvl w:val="1"/>
          <w:numId w:val="32"/>
        </w:numPr>
        <w:jc w:val="both"/>
        <w:rPr>
          <w:rFonts w:cs="Arial"/>
        </w:rPr>
      </w:pPr>
      <w:r w:rsidRPr="004E2B72">
        <w:rPr>
          <w:rFonts w:cs="Arial"/>
        </w:rPr>
        <w:t>běžné (</w:t>
      </w:r>
      <w:r w:rsidR="003617C2" w:rsidRPr="004E2B72">
        <w:rPr>
          <w:rFonts w:cs="Arial"/>
        </w:rPr>
        <w:t>provozní</w:t>
      </w:r>
      <w:r w:rsidRPr="004E2B72">
        <w:rPr>
          <w:rFonts w:cs="Arial"/>
        </w:rPr>
        <w:t>)</w:t>
      </w:r>
      <w:r w:rsidR="003617C2" w:rsidRPr="004E2B72">
        <w:rPr>
          <w:rStyle w:val="Znakapoznpodarou"/>
          <w:rFonts w:cs="Arial"/>
        </w:rPr>
        <w:footnoteReference w:id="16"/>
      </w:r>
      <w:r w:rsidR="003617C2" w:rsidRPr="004E2B72">
        <w:rPr>
          <w:rFonts w:cs="Arial"/>
        </w:rPr>
        <w:t xml:space="preserve"> - vynaložené na dodávku služeb</w:t>
      </w:r>
      <w:r w:rsidR="003C08AB" w:rsidRPr="004E2B72">
        <w:rPr>
          <w:rFonts w:cs="Arial"/>
        </w:rPr>
        <w:t xml:space="preserve">, spojených s provozem </w:t>
      </w:r>
      <w:r w:rsidR="003617C2" w:rsidRPr="004E2B72">
        <w:rPr>
          <w:rFonts w:cs="Arial"/>
        </w:rPr>
        <w:t>řešení</w:t>
      </w:r>
      <w:r w:rsidR="003C08AB" w:rsidRPr="004E2B72">
        <w:rPr>
          <w:rFonts w:cs="Arial"/>
        </w:rPr>
        <w:t>, nebo na dodávku řešení jako služby.</w:t>
      </w:r>
    </w:p>
    <w:p w14:paraId="4C02BED8" w14:textId="326DBCA1" w:rsidR="00FC2CA3" w:rsidRPr="004E2B72" w:rsidRDefault="00FC2CA3" w:rsidP="00073E78">
      <w:pPr>
        <w:pStyle w:val="Zkladntext"/>
        <w:numPr>
          <w:ilvl w:val="0"/>
          <w:numId w:val="32"/>
        </w:numPr>
        <w:jc w:val="both"/>
        <w:rPr>
          <w:rFonts w:cs="Arial"/>
        </w:rPr>
      </w:pPr>
      <w:r w:rsidRPr="004E2B72">
        <w:rPr>
          <w:rFonts w:cs="Arial"/>
        </w:rPr>
        <w:t xml:space="preserve">podle </w:t>
      </w:r>
      <w:r w:rsidRPr="004E2B72">
        <w:rPr>
          <w:rFonts w:cs="Arial"/>
          <w:b/>
        </w:rPr>
        <w:t>druhu zdroje</w:t>
      </w:r>
      <w:r w:rsidRPr="004E2B72">
        <w:rPr>
          <w:rFonts w:cs="Arial"/>
        </w:rPr>
        <w:t xml:space="preserve"> (druhové členění</w:t>
      </w:r>
      <w:r w:rsidR="00A70FF7" w:rsidRPr="004E2B72">
        <w:rPr>
          <w:rFonts w:cs="Arial"/>
        </w:rPr>
        <w:t xml:space="preserve"> na dalších úrovních seskupení a položek</w:t>
      </w:r>
      <w:r w:rsidRPr="004E2B72">
        <w:rPr>
          <w:rFonts w:cs="Arial"/>
        </w:rPr>
        <w:t xml:space="preserve">) – osobní (mzdové), materiálové, paliva a energie, služby, </w:t>
      </w:r>
      <w:r w:rsidRPr="004E2B72">
        <w:rPr>
          <w:rFonts w:cs="Arial"/>
          <w:b/>
        </w:rPr>
        <w:t>pořízení majetku</w:t>
      </w:r>
      <w:r w:rsidRPr="004E2B72">
        <w:rPr>
          <w:rFonts w:cs="Arial"/>
        </w:rPr>
        <w:t xml:space="preserve">, daně a poplatky, finanční náklady, mimořádné </w:t>
      </w:r>
      <w:r w:rsidR="003B36B1">
        <w:rPr>
          <w:rFonts w:cs="Arial"/>
        </w:rPr>
        <w:t>výdaje</w:t>
      </w:r>
      <w:r w:rsidR="003B36B1" w:rsidRPr="004E2B72">
        <w:rPr>
          <w:rFonts w:cs="Arial"/>
        </w:rPr>
        <w:t xml:space="preserve"> </w:t>
      </w:r>
      <w:r w:rsidRPr="004E2B72">
        <w:rPr>
          <w:rFonts w:cs="Arial"/>
        </w:rPr>
        <w:t xml:space="preserve">a další kategorie dle účtového </w:t>
      </w:r>
      <w:r w:rsidR="00B10D0A" w:rsidRPr="004E2B72">
        <w:rPr>
          <w:rFonts w:cs="Arial"/>
        </w:rPr>
        <w:t xml:space="preserve">rozvrhu </w:t>
      </w:r>
      <w:r w:rsidRPr="004E2B72">
        <w:rPr>
          <w:rFonts w:cs="Arial"/>
        </w:rPr>
        <w:t>(rozpočtové</w:t>
      </w:r>
      <w:r w:rsidR="00B10D0A" w:rsidRPr="004E2B72">
        <w:rPr>
          <w:rFonts w:cs="Arial"/>
        </w:rPr>
        <w:t xml:space="preserve"> skladby</w:t>
      </w:r>
      <w:r w:rsidRPr="004E2B72">
        <w:rPr>
          <w:rFonts w:cs="Arial"/>
        </w:rPr>
        <w:t>)</w:t>
      </w:r>
    </w:p>
    <w:p w14:paraId="7D644577" w14:textId="641BAD22" w:rsidR="00A70FF7" w:rsidRPr="004E2B72" w:rsidRDefault="00A70FF7" w:rsidP="00073E78">
      <w:pPr>
        <w:pStyle w:val="Zkladntext"/>
        <w:numPr>
          <w:ilvl w:val="0"/>
          <w:numId w:val="32"/>
        </w:numPr>
        <w:jc w:val="both"/>
        <w:rPr>
          <w:rFonts w:cs="Arial"/>
        </w:rPr>
      </w:pPr>
      <w:r w:rsidRPr="004E2B72">
        <w:rPr>
          <w:rFonts w:cs="Arial"/>
        </w:rPr>
        <w:t xml:space="preserve">podle </w:t>
      </w:r>
      <w:r w:rsidRPr="004E2B72">
        <w:rPr>
          <w:rFonts w:cs="Arial"/>
          <w:b/>
        </w:rPr>
        <w:t xml:space="preserve">funkčního (paragrafového) </w:t>
      </w:r>
      <w:r w:rsidRPr="004E2B72">
        <w:rPr>
          <w:rFonts w:cs="Arial"/>
        </w:rPr>
        <w:t>třídění do čtyřstupňové klasifikace (skupina, oddíl, pododdíl, paragraf) s první úrovní:</w:t>
      </w:r>
    </w:p>
    <w:p w14:paraId="4EB680A6" w14:textId="33FC3E84" w:rsidR="00B85DCE" w:rsidRPr="004E2B72" w:rsidRDefault="00A70FF7" w:rsidP="00073E78">
      <w:pPr>
        <w:pStyle w:val="Zkladntext"/>
        <w:ind w:left="1080"/>
        <w:jc w:val="both"/>
        <w:rPr>
          <w:rFonts w:cs="Arial"/>
        </w:rPr>
      </w:pPr>
      <w:r w:rsidRPr="004E2B72">
        <w:rPr>
          <w:rFonts w:cs="Arial"/>
        </w:rPr>
        <w:t xml:space="preserve">1 </w:t>
      </w:r>
      <w:r w:rsidR="00391FE9" w:rsidRPr="004E2B72">
        <w:rPr>
          <w:rFonts w:cs="Arial"/>
        </w:rPr>
        <w:t>Zemědělství a lesní hospodářství</w:t>
      </w:r>
    </w:p>
    <w:p w14:paraId="4A72393F" w14:textId="178A0884" w:rsidR="00B85DCE" w:rsidRPr="004E2B72" w:rsidRDefault="00A70FF7" w:rsidP="00073E78">
      <w:pPr>
        <w:pStyle w:val="Zkladntext"/>
        <w:ind w:left="1080"/>
        <w:jc w:val="both"/>
        <w:rPr>
          <w:rFonts w:cs="Arial"/>
        </w:rPr>
      </w:pPr>
      <w:r w:rsidRPr="004E2B72">
        <w:rPr>
          <w:rFonts w:cs="Arial"/>
        </w:rPr>
        <w:t xml:space="preserve">2 </w:t>
      </w:r>
      <w:r w:rsidR="00391FE9" w:rsidRPr="004E2B72">
        <w:rPr>
          <w:rFonts w:cs="Arial"/>
        </w:rPr>
        <w:t>Průmysl a ostatní hospodářská odvětví</w:t>
      </w:r>
    </w:p>
    <w:p w14:paraId="1B0AF0AB" w14:textId="0603E12C" w:rsidR="00B85DCE" w:rsidRPr="004E2B72" w:rsidRDefault="00391FE9" w:rsidP="00073E78">
      <w:pPr>
        <w:pStyle w:val="Zkladntext"/>
        <w:ind w:left="1080"/>
        <w:jc w:val="both"/>
        <w:rPr>
          <w:rFonts w:cs="Arial"/>
        </w:rPr>
      </w:pPr>
      <w:r w:rsidRPr="004E2B72">
        <w:rPr>
          <w:rFonts w:cs="Arial"/>
        </w:rPr>
        <w:t>3 Služby pro obyvatelstvo</w:t>
      </w:r>
    </w:p>
    <w:p w14:paraId="0DBF8E3D" w14:textId="2219C6F2" w:rsidR="00B85DCE" w:rsidRPr="004E2B72" w:rsidRDefault="00391FE9" w:rsidP="00073E78">
      <w:pPr>
        <w:pStyle w:val="Zkladntext"/>
        <w:ind w:left="1080"/>
        <w:jc w:val="both"/>
        <w:rPr>
          <w:rFonts w:cs="Arial"/>
        </w:rPr>
      </w:pPr>
      <w:r w:rsidRPr="004E2B72">
        <w:rPr>
          <w:rFonts w:cs="Arial"/>
        </w:rPr>
        <w:t>4 Sociální věci a politika zaměstnanosti</w:t>
      </w:r>
    </w:p>
    <w:p w14:paraId="08C083E5" w14:textId="451B79BF" w:rsidR="00B85DCE" w:rsidRPr="004E2B72" w:rsidRDefault="00391FE9" w:rsidP="00073E78">
      <w:pPr>
        <w:pStyle w:val="Zkladntext"/>
        <w:ind w:left="1080"/>
        <w:jc w:val="both"/>
        <w:rPr>
          <w:rFonts w:cs="Arial"/>
        </w:rPr>
      </w:pPr>
      <w:r w:rsidRPr="004E2B72">
        <w:rPr>
          <w:rFonts w:cs="Arial"/>
        </w:rPr>
        <w:t>5 Bezpečnost státu a právní ochrana</w:t>
      </w:r>
    </w:p>
    <w:p w14:paraId="5C90917A" w14:textId="64256CCF" w:rsidR="00B85DCE" w:rsidRPr="004E2B72" w:rsidRDefault="00391FE9" w:rsidP="00073E78">
      <w:pPr>
        <w:pStyle w:val="Zkladntext"/>
        <w:ind w:left="1080"/>
        <w:jc w:val="both"/>
        <w:rPr>
          <w:rFonts w:cs="Arial"/>
        </w:rPr>
      </w:pPr>
      <w:r w:rsidRPr="004E2B72">
        <w:rPr>
          <w:rFonts w:cs="Arial"/>
        </w:rPr>
        <w:t xml:space="preserve">6 Všeobecná veřejná správa a služby </w:t>
      </w:r>
    </w:p>
    <w:p w14:paraId="74F5960D" w14:textId="3BC5F63E" w:rsidR="00E95534" w:rsidRPr="004E2B72" w:rsidRDefault="006659CE" w:rsidP="00073E78">
      <w:pPr>
        <w:pStyle w:val="Zkladntext"/>
        <w:jc w:val="both"/>
        <w:rPr>
          <w:rFonts w:cs="Arial"/>
        </w:rPr>
      </w:pPr>
      <w:r w:rsidRPr="004E2B72">
        <w:rPr>
          <w:rFonts w:cs="Arial"/>
          <w:b/>
        </w:rPr>
        <w:t>Č</w:t>
      </w:r>
      <w:r w:rsidR="00FC2CA3" w:rsidRPr="004E2B72">
        <w:rPr>
          <w:rFonts w:cs="Arial"/>
          <w:b/>
        </w:rPr>
        <w:t>lenění</w:t>
      </w:r>
      <w:r w:rsidR="00E95534" w:rsidRPr="004E2B72">
        <w:rPr>
          <w:rFonts w:cs="Arial"/>
          <w:b/>
        </w:rPr>
        <w:t xml:space="preserve"> náklad</w:t>
      </w:r>
      <w:r w:rsidR="00FC2CA3" w:rsidRPr="004E2B72">
        <w:rPr>
          <w:rFonts w:cs="Arial"/>
          <w:b/>
        </w:rPr>
        <w:t>ů</w:t>
      </w:r>
      <w:r w:rsidR="00FC2CA3" w:rsidRPr="004E2B72">
        <w:rPr>
          <w:rFonts w:cs="Arial"/>
        </w:rPr>
        <w:t xml:space="preserve"> (spotřeby zdrojů)</w:t>
      </w:r>
      <w:r w:rsidR="003809E4">
        <w:rPr>
          <w:rFonts w:cs="Arial"/>
        </w:rPr>
        <w:t xml:space="preserve"> pro kalkulace, controlling a další manažerské potřeby</w:t>
      </w:r>
      <w:r w:rsidR="00E95534" w:rsidRPr="004E2B72">
        <w:rPr>
          <w:rFonts w:cs="Arial"/>
        </w:rPr>
        <w:t>:</w:t>
      </w:r>
    </w:p>
    <w:p w14:paraId="1ACF86E6" w14:textId="3E2C1DDC" w:rsidR="00E95534" w:rsidRPr="004E2B72" w:rsidRDefault="00E95534" w:rsidP="00073E78">
      <w:pPr>
        <w:pStyle w:val="Zkladntext"/>
        <w:numPr>
          <w:ilvl w:val="0"/>
          <w:numId w:val="32"/>
        </w:numPr>
        <w:jc w:val="both"/>
        <w:rPr>
          <w:rFonts w:cs="Arial"/>
        </w:rPr>
      </w:pPr>
      <w:r w:rsidRPr="004E2B72">
        <w:rPr>
          <w:rFonts w:cs="Arial"/>
        </w:rPr>
        <w:t xml:space="preserve">podle </w:t>
      </w:r>
      <w:r w:rsidRPr="004E2B72">
        <w:rPr>
          <w:rFonts w:cs="Arial"/>
          <w:b/>
        </w:rPr>
        <w:t>účelu vynaložení</w:t>
      </w:r>
      <w:r w:rsidRPr="004E2B72">
        <w:rPr>
          <w:rFonts w:cs="Arial"/>
        </w:rPr>
        <w:t xml:space="preserve"> </w:t>
      </w:r>
      <w:r w:rsidR="00EE0C1C" w:rsidRPr="004E2B72">
        <w:rPr>
          <w:rFonts w:cs="Arial"/>
        </w:rPr>
        <w:t xml:space="preserve">(účelové členění) - </w:t>
      </w:r>
      <w:r w:rsidRPr="004E2B72">
        <w:rPr>
          <w:rFonts w:cs="Arial"/>
        </w:rPr>
        <w:t>v</w:t>
      </w:r>
      <w:r w:rsidR="00A70FF7" w:rsidRPr="004E2B72">
        <w:rPr>
          <w:rFonts w:cs="Arial"/>
        </w:rPr>
        <w:t xml:space="preserve"> případě </w:t>
      </w:r>
      <w:r w:rsidR="00A14232" w:rsidRPr="004E2B72">
        <w:rPr>
          <w:rFonts w:cs="Arial"/>
        </w:rPr>
        <w:t>nákladů v řízení informatiky</w:t>
      </w:r>
      <w:r w:rsidR="00A70FF7" w:rsidRPr="004E2B72">
        <w:rPr>
          <w:rFonts w:cs="Arial"/>
        </w:rPr>
        <w:t xml:space="preserve"> v </w:t>
      </w:r>
      <w:r w:rsidRPr="004E2B72">
        <w:rPr>
          <w:rFonts w:cs="Arial"/>
        </w:rPr>
        <w:t xml:space="preserve">souladu </w:t>
      </w:r>
      <w:r w:rsidR="00E85A9B" w:rsidRPr="004E2B72">
        <w:rPr>
          <w:rFonts w:cs="Arial"/>
        </w:rPr>
        <w:t>s</w:t>
      </w:r>
      <w:r w:rsidRPr="004E2B72">
        <w:rPr>
          <w:rFonts w:cs="Arial"/>
        </w:rPr>
        <w:t> fázemi životního cyklu ICT řešení a jeho komponentami</w:t>
      </w:r>
      <w:r w:rsidR="00665428" w:rsidRPr="004E2B72">
        <w:rPr>
          <w:rFonts w:cs="Arial"/>
        </w:rPr>
        <w:t xml:space="preserve">, viz dále kapitola </w:t>
      </w:r>
      <w:r w:rsidR="00665428" w:rsidRPr="004E2B72">
        <w:rPr>
          <w:rFonts w:cs="Arial"/>
        </w:rPr>
        <w:fldChar w:fldCharType="begin"/>
      </w:r>
      <w:r w:rsidR="00665428" w:rsidRPr="004E2B72">
        <w:rPr>
          <w:rFonts w:cs="Arial"/>
        </w:rPr>
        <w:instrText xml:space="preserve"> REF _Ref115686757 \r \h </w:instrText>
      </w:r>
      <w:r w:rsidR="004E2B72">
        <w:rPr>
          <w:rFonts w:cs="Arial"/>
        </w:rPr>
        <w:instrText xml:space="preserve"> \* MERGEFORMAT </w:instrText>
      </w:r>
      <w:r w:rsidR="00665428" w:rsidRPr="004E2B72">
        <w:rPr>
          <w:rFonts w:cs="Arial"/>
        </w:rPr>
      </w:r>
      <w:r w:rsidR="00665428" w:rsidRPr="004E2B72">
        <w:rPr>
          <w:rFonts w:cs="Arial"/>
        </w:rPr>
        <w:fldChar w:fldCharType="separate"/>
      </w:r>
      <w:r w:rsidR="00665428" w:rsidRPr="004E2B72">
        <w:rPr>
          <w:rFonts w:cs="Arial"/>
        </w:rPr>
        <w:t>2.3.2</w:t>
      </w:r>
      <w:r w:rsidR="00665428" w:rsidRPr="004E2B72">
        <w:rPr>
          <w:rFonts w:cs="Arial"/>
        </w:rPr>
        <w:fldChar w:fldCharType="end"/>
      </w:r>
      <w:r w:rsidR="00665428" w:rsidRPr="004E2B72">
        <w:rPr>
          <w:rFonts w:cs="Arial"/>
        </w:rPr>
        <w:t xml:space="preserve"> </w:t>
      </w:r>
      <w:r w:rsidR="00665428" w:rsidRPr="004E2B72">
        <w:rPr>
          <w:rFonts w:cs="Arial"/>
        </w:rPr>
        <w:fldChar w:fldCharType="begin"/>
      </w:r>
      <w:r w:rsidR="00665428" w:rsidRPr="004E2B72">
        <w:rPr>
          <w:rFonts w:cs="Arial"/>
        </w:rPr>
        <w:instrText xml:space="preserve"> REF _Ref115686757 \h </w:instrText>
      </w:r>
      <w:r w:rsidR="004E2B72">
        <w:rPr>
          <w:rFonts w:cs="Arial"/>
        </w:rPr>
        <w:instrText xml:space="preserve"> \* MERGEFORMAT </w:instrText>
      </w:r>
      <w:r w:rsidR="00665428" w:rsidRPr="004E2B72">
        <w:rPr>
          <w:rFonts w:cs="Arial"/>
        </w:rPr>
      </w:r>
      <w:r w:rsidR="00665428" w:rsidRPr="004E2B72">
        <w:rPr>
          <w:rFonts w:cs="Arial"/>
        </w:rPr>
        <w:fldChar w:fldCharType="separate"/>
      </w:r>
      <w:r w:rsidR="00665428" w:rsidRPr="004E2B72">
        <w:rPr>
          <w:rFonts w:cs="Arial"/>
        </w:rPr>
        <w:t>Model TCO – účelové členění ICT nákladů VS</w:t>
      </w:r>
      <w:r w:rsidR="00665428" w:rsidRPr="004E2B72">
        <w:rPr>
          <w:rFonts w:cs="Arial"/>
        </w:rPr>
        <w:fldChar w:fldCharType="end"/>
      </w:r>
    </w:p>
    <w:p w14:paraId="0A75DFD7" w14:textId="0C253733" w:rsidR="00E95534" w:rsidRPr="004E2B72" w:rsidRDefault="00E95534" w:rsidP="00073E78">
      <w:pPr>
        <w:pStyle w:val="Zkladntext"/>
        <w:numPr>
          <w:ilvl w:val="0"/>
          <w:numId w:val="32"/>
        </w:numPr>
        <w:jc w:val="both"/>
        <w:rPr>
          <w:rFonts w:cs="Arial"/>
        </w:rPr>
      </w:pPr>
      <w:r w:rsidRPr="004E2B72">
        <w:rPr>
          <w:rFonts w:cs="Arial"/>
        </w:rPr>
        <w:t xml:space="preserve">podle </w:t>
      </w:r>
      <w:r w:rsidRPr="004E2B72">
        <w:rPr>
          <w:rFonts w:cs="Arial"/>
          <w:b/>
        </w:rPr>
        <w:t>periody vynaložení</w:t>
      </w:r>
      <w:r w:rsidRPr="004E2B72">
        <w:rPr>
          <w:rFonts w:cs="Arial"/>
        </w:rPr>
        <w:t xml:space="preserve"> – jako jednorázové a průběžné</w:t>
      </w:r>
    </w:p>
    <w:p w14:paraId="5DE0567D" w14:textId="28E89F1D" w:rsidR="00E95534" w:rsidRPr="004E2B72" w:rsidRDefault="00EE0C1C" w:rsidP="00073E78">
      <w:pPr>
        <w:pStyle w:val="Zkladntext"/>
        <w:numPr>
          <w:ilvl w:val="0"/>
          <w:numId w:val="32"/>
        </w:numPr>
        <w:jc w:val="both"/>
        <w:rPr>
          <w:rFonts w:cs="Arial"/>
        </w:rPr>
      </w:pPr>
      <w:r w:rsidRPr="004E2B72">
        <w:rPr>
          <w:rFonts w:cs="Arial"/>
        </w:rPr>
        <w:t xml:space="preserve">podle </w:t>
      </w:r>
      <w:r w:rsidRPr="004E2B72">
        <w:rPr>
          <w:rFonts w:cs="Arial"/>
          <w:b/>
        </w:rPr>
        <w:t>vztahu k objemu</w:t>
      </w:r>
      <w:r w:rsidRPr="004E2B72">
        <w:rPr>
          <w:rFonts w:cs="Arial"/>
        </w:rPr>
        <w:t xml:space="preserve"> poskytovaných služeb</w:t>
      </w:r>
      <w:r w:rsidR="00665428" w:rsidRPr="004E2B72">
        <w:rPr>
          <w:rFonts w:cs="Arial"/>
        </w:rPr>
        <w:t xml:space="preserve"> - jako </w:t>
      </w:r>
      <w:r w:rsidR="00E95534" w:rsidRPr="004E2B72">
        <w:rPr>
          <w:rFonts w:cs="Arial"/>
        </w:rPr>
        <w:t>fixní a variabilní</w:t>
      </w:r>
    </w:p>
    <w:p w14:paraId="27F825C3" w14:textId="40D49333" w:rsidR="00E95534" w:rsidRPr="004E2B72" w:rsidRDefault="00E95534" w:rsidP="00073E78">
      <w:pPr>
        <w:pStyle w:val="Zkladntext"/>
        <w:numPr>
          <w:ilvl w:val="0"/>
          <w:numId w:val="32"/>
        </w:numPr>
        <w:jc w:val="both"/>
        <w:rPr>
          <w:rFonts w:cs="Arial"/>
        </w:rPr>
      </w:pPr>
      <w:r w:rsidRPr="004E2B72">
        <w:rPr>
          <w:rFonts w:cs="Arial"/>
        </w:rPr>
        <w:t xml:space="preserve">podle </w:t>
      </w:r>
      <w:r w:rsidRPr="004E2B72">
        <w:rPr>
          <w:rFonts w:cs="Arial"/>
          <w:b/>
        </w:rPr>
        <w:t>způsobu zajištění</w:t>
      </w:r>
      <w:r w:rsidRPr="004E2B72">
        <w:rPr>
          <w:rFonts w:cs="Arial"/>
        </w:rPr>
        <w:t xml:space="preserve"> </w:t>
      </w:r>
      <w:r w:rsidR="006B4E37" w:rsidRPr="004E2B72">
        <w:rPr>
          <w:rFonts w:cs="Arial"/>
        </w:rPr>
        <w:t xml:space="preserve">zdrojů </w:t>
      </w:r>
      <w:r w:rsidRPr="004E2B72">
        <w:rPr>
          <w:rFonts w:cs="Arial"/>
        </w:rPr>
        <w:t>- jako interní a externí</w:t>
      </w:r>
    </w:p>
    <w:p w14:paraId="43FA5520" w14:textId="4A162FF7" w:rsidR="009223F6" w:rsidRPr="004E2B72" w:rsidRDefault="009223F6" w:rsidP="00073E78">
      <w:pPr>
        <w:pStyle w:val="Zkladntext"/>
        <w:numPr>
          <w:ilvl w:val="0"/>
          <w:numId w:val="32"/>
        </w:numPr>
        <w:jc w:val="both"/>
        <w:rPr>
          <w:rFonts w:cs="Arial"/>
        </w:rPr>
      </w:pPr>
      <w:r w:rsidRPr="004E2B72">
        <w:rPr>
          <w:rFonts w:cs="Arial"/>
        </w:rPr>
        <w:t xml:space="preserve">podle </w:t>
      </w:r>
      <w:r w:rsidRPr="004E2B72">
        <w:rPr>
          <w:rFonts w:cs="Arial"/>
          <w:b/>
        </w:rPr>
        <w:t>druhu zdroje</w:t>
      </w:r>
      <w:r w:rsidRPr="004E2B72">
        <w:rPr>
          <w:rFonts w:cs="Arial"/>
        </w:rPr>
        <w:t xml:space="preserve"> (druhové členění) – osobní (mzdové), materiálové, </w:t>
      </w:r>
      <w:r w:rsidR="00EE0C1C" w:rsidRPr="004E2B72">
        <w:rPr>
          <w:rFonts w:cs="Arial"/>
        </w:rPr>
        <w:t xml:space="preserve">paliva a energie, </w:t>
      </w:r>
      <w:r w:rsidRPr="004E2B72">
        <w:rPr>
          <w:rFonts w:cs="Arial"/>
        </w:rPr>
        <w:t xml:space="preserve">služby, </w:t>
      </w:r>
      <w:r w:rsidR="00EE0C1C" w:rsidRPr="004E2B72">
        <w:rPr>
          <w:rFonts w:cs="Arial"/>
          <w:b/>
        </w:rPr>
        <w:t>odpisy majetku,</w:t>
      </w:r>
      <w:r w:rsidR="00EE0C1C" w:rsidRPr="004E2B72">
        <w:rPr>
          <w:rFonts w:cs="Arial"/>
        </w:rPr>
        <w:t xml:space="preserve"> </w:t>
      </w:r>
      <w:r w:rsidRPr="004E2B72">
        <w:rPr>
          <w:rFonts w:cs="Arial"/>
        </w:rPr>
        <w:t>daně a poplatky, finanční náklady</w:t>
      </w:r>
      <w:r w:rsidR="00EE0C1C" w:rsidRPr="004E2B72">
        <w:rPr>
          <w:rFonts w:cs="Arial"/>
        </w:rPr>
        <w:t>, mimořádné náklady</w:t>
      </w:r>
      <w:r w:rsidRPr="004E2B72">
        <w:rPr>
          <w:rFonts w:cs="Arial"/>
        </w:rPr>
        <w:t xml:space="preserve"> a další kategorie dle účtového</w:t>
      </w:r>
      <w:r w:rsidR="00B10D0A" w:rsidRPr="004E2B72">
        <w:rPr>
          <w:rFonts w:cs="Arial"/>
        </w:rPr>
        <w:t xml:space="preserve"> rozvrhu</w:t>
      </w:r>
      <w:r w:rsidRPr="004E2B72">
        <w:rPr>
          <w:rFonts w:cs="Arial"/>
        </w:rPr>
        <w:t xml:space="preserve"> (rozpočtové</w:t>
      </w:r>
      <w:r w:rsidR="00B10D0A" w:rsidRPr="004E2B72">
        <w:rPr>
          <w:rFonts w:cs="Arial"/>
        </w:rPr>
        <w:t xml:space="preserve"> skladby</w:t>
      </w:r>
      <w:r w:rsidRPr="004E2B72">
        <w:rPr>
          <w:rFonts w:cs="Arial"/>
        </w:rPr>
        <w:t xml:space="preserve">) </w:t>
      </w:r>
    </w:p>
    <w:p w14:paraId="6002A4EC" w14:textId="5C8BBE34" w:rsidR="00EE0C1C" w:rsidRPr="004E2B72" w:rsidRDefault="009223F6" w:rsidP="00073E78">
      <w:pPr>
        <w:pStyle w:val="Zkladntext"/>
        <w:numPr>
          <w:ilvl w:val="0"/>
          <w:numId w:val="32"/>
        </w:numPr>
        <w:jc w:val="both"/>
        <w:rPr>
          <w:rFonts w:cs="Arial"/>
        </w:rPr>
      </w:pPr>
      <w:r w:rsidRPr="004E2B72">
        <w:rPr>
          <w:rFonts w:cs="Arial"/>
        </w:rPr>
        <w:t xml:space="preserve">podle </w:t>
      </w:r>
      <w:r w:rsidRPr="004E2B72">
        <w:rPr>
          <w:rFonts w:cs="Arial"/>
          <w:b/>
        </w:rPr>
        <w:t>způsobu plánování</w:t>
      </w:r>
      <w:r w:rsidRPr="004E2B72">
        <w:rPr>
          <w:rFonts w:cs="Arial"/>
        </w:rPr>
        <w:t xml:space="preserve"> – </w:t>
      </w:r>
      <w:r w:rsidR="00665428" w:rsidRPr="004E2B72">
        <w:rPr>
          <w:rFonts w:cs="Arial"/>
        </w:rPr>
        <w:t xml:space="preserve">tzv. </w:t>
      </w:r>
      <w:r w:rsidRPr="004E2B72">
        <w:rPr>
          <w:rFonts w:cs="Arial"/>
        </w:rPr>
        <w:t xml:space="preserve">kalkulační </w:t>
      </w:r>
      <w:r w:rsidR="00EE0C1C" w:rsidRPr="004E2B72">
        <w:rPr>
          <w:rFonts w:cs="Arial"/>
        </w:rPr>
        <w:t xml:space="preserve">členění </w:t>
      </w:r>
    </w:p>
    <w:p w14:paraId="273CC2A6" w14:textId="65B91503" w:rsidR="00EE0C1C" w:rsidRPr="004E2B72" w:rsidRDefault="004E2F39" w:rsidP="00073E78">
      <w:pPr>
        <w:pStyle w:val="Zkladntext"/>
        <w:numPr>
          <w:ilvl w:val="1"/>
          <w:numId w:val="32"/>
        </w:numPr>
        <w:jc w:val="both"/>
        <w:rPr>
          <w:rFonts w:cs="Arial"/>
        </w:rPr>
      </w:pPr>
      <w:r w:rsidRPr="004E2B72">
        <w:rPr>
          <w:rFonts w:cs="Arial"/>
        </w:rPr>
        <w:t xml:space="preserve">přímé, přímo přiřaditelné </w:t>
      </w:r>
      <w:r w:rsidR="009223F6" w:rsidRPr="004E2B72">
        <w:rPr>
          <w:rFonts w:cs="Arial"/>
        </w:rPr>
        <w:t xml:space="preserve">(jednicové) </w:t>
      </w:r>
    </w:p>
    <w:p w14:paraId="43C1B671" w14:textId="08680E74" w:rsidR="009223F6" w:rsidRPr="004E2B72" w:rsidRDefault="00EE0C1C" w:rsidP="00073E78">
      <w:pPr>
        <w:pStyle w:val="Zkladntext"/>
        <w:numPr>
          <w:ilvl w:val="1"/>
          <w:numId w:val="32"/>
        </w:numPr>
        <w:jc w:val="both"/>
        <w:rPr>
          <w:rFonts w:cs="Arial"/>
        </w:rPr>
      </w:pPr>
      <w:r w:rsidRPr="004E2B72">
        <w:rPr>
          <w:rFonts w:cs="Arial"/>
        </w:rPr>
        <w:t>nepřímé</w:t>
      </w:r>
      <w:r w:rsidR="004E2F39" w:rsidRPr="004E2B72">
        <w:rPr>
          <w:rFonts w:cs="Arial"/>
        </w:rPr>
        <w:t>, nepřímo přiřaditelné</w:t>
      </w:r>
      <w:r w:rsidRPr="004E2B72">
        <w:rPr>
          <w:rFonts w:cs="Arial"/>
        </w:rPr>
        <w:t xml:space="preserve"> (</w:t>
      </w:r>
      <w:r w:rsidR="009223F6" w:rsidRPr="004E2B72">
        <w:rPr>
          <w:rFonts w:cs="Arial"/>
        </w:rPr>
        <w:t>režijní</w:t>
      </w:r>
      <w:r w:rsidRPr="004E2B72">
        <w:rPr>
          <w:rFonts w:cs="Arial"/>
        </w:rPr>
        <w:t xml:space="preserve">), členěné na </w:t>
      </w:r>
      <w:r w:rsidR="002B3B03" w:rsidRPr="004E2B72">
        <w:rPr>
          <w:rFonts w:cs="Arial"/>
        </w:rPr>
        <w:t>provozní</w:t>
      </w:r>
      <w:r w:rsidRPr="004E2B72">
        <w:rPr>
          <w:rFonts w:cs="Arial"/>
        </w:rPr>
        <w:t xml:space="preserve"> a správní režii</w:t>
      </w:r>
    </w:p>
    <w:p w14:paraId="3C642A3D" w14:textId="1659FF51" w:rsidR="002A2F0D" w:rsidRPr="004E2B72" w:rsidRDefault="002A2F0D" w:rsidP="00073E78">
      <w:pPr>
        <w:pStyle w:val="Zkladntext"/>
        <w:numPr>
          <w:ilvl w:val="0"/>
          <w:numId w:val="32"/>
        </w:numPr>
        <w:jc w:val="both"/>
        <w:rPr>
          <w:rFonts w:cs="Arial"/>
        </w:rPr>
      </w:pPr>
      <w:r w:rsidRPr="004E2B72">
        <w:rPr>
          <w:rFonts w:cs="Arial"/>
        </w:rPr>
        <w:t xml:space="preserve">podle tzv. </w:t>
      </w:r>
      <w:r w:rsidRPr="004E2B72">
        <w:rPr>
          <w:rFonts w:cs="Arial"/>
          <w:b/>
        </w:rPr>
        <w:t>nositelů nákladů</w:t>
      </w:r>
      <w:r w:rsidR="002B3B03" w:rsidRPr="004E2B72">
        <w:rPr>
          <w:rFonts w:cs="Arial"/>
        </w:rPr>
        <w:t xml:space="preserve"> – na </w:t>
      </w:r>
      <w:r w:rsidRPr="004E2B72">
        <w:rPr>
          <w:rFonts w:cs="Arial"/>
        </w:rPr>
        <w:t>střediskové náklady</w:t>
      </w:r>
      <w:r w:rsidR="002B3B03" w:rsidRPr="004E2B72">
        <w:rPr>
          <w:rFonts w:cs="Arial"/>
        </w:rPr>
        <w:t xml:space="preserve">, </w:t>
      </w:r>
      <w:r w:rsidRPr="004E2B72">
        <w:rPr>
          <w:rFonts w:cs="Arial"/>
        </w:rPr>
        <w:t>projektové a zakázkové náklady</w:t>
      </w:r>
      <w:r w:rsidR="002B3B03" w:rsidRPr="004E2B72">
        <w:rPr>
          <w:rFonts w:cs="Arial"/>
        </w:rPr>
        <w:t xml:space="preserve"> nebo </w:t>
      </w:r>
      <w:r w:rsidRPr="004E2B72">
        <w:rPr>
          <w:rFonts w:cs="Arial"/>
        </w:rPr>
        <w:t xml:space="preserve">produktové náklady </w:t>
      </w:r>
      <w:r w:rsidR="002B3B03" w:rsidRPr="004E2B72">
        <w:rPr>
          <w:rFonts w:cs="Arial"/>
        </w:rPr>
        <w:t xml:space="preserve">(náklady na službu VS nebo na ICT službu), </w:t>
      </w:r>
      <w:r w:rsidRPr="004E2B72">
        <w:rPr>
          <w:rFonts w:cs="Arial"/>
        </w:rPr>
        <w:t>apod.</w:t>
      </w:r>
    </w:p>
    <w:p w14:paraId="4C9F69DF" w14:textId="3D8262DB" w:rsidR="006B4E37" w:rsidRPr="004E2B72" w:rsidRDefault="003C08AB" w:rsidP="00073E78">
      <w:pPr>
        <w:pStyle w:val="Zkladntext"/>
        <w:jc w:val="both"/>
        <w:rPr>
          <w:rFonts w:cs="Arial"/>
        </w:rPr>
      </w:pPr>
      <w:r w:rsidRPr="004E2B72">
        <w:rPr>
          <w:rFonts w:cs="Arial"/>
        </w:rPr>
        <w:t xml:space="preserve">Různé pohledy a členění nákladů mají své přínosy při různých postupech plánování a řízení nákladů. </w:t>
      </w:r>
      <w:r w:rsidR="006B4E37" w:rsidRPr="004E2B72">
        <w:rPr>
          <w:rFonts w:cs="Arial"/>
        </w:rPr>
        <w:t>Všechna členění nákladů je možné kombinovat</w:t>
      </w:r>
      <w:r w:rsidR="00D523ED" w:rsidRPr="004E2B72">
        <w:rPr>
          <w:rFonts w:cs="Arial"/>
        </w:rPr>
        <w:t>,</w:t>
      </w:r>
      <w:r w:rsidR="006B4E37" w:rsidRPr="004E2B72">
        <w:rPr>
          <w:rFonts w:cs="Arial"/>
        </w:rPr>
        <w:t xml:space="preserve"> víceméně (téměř) každé s</w:t>
      </w:r>
      <w:r w:rsidR="00D523ED" w:rsidRPr="004E2B72">
        <w:rPr>
          <w:rFonts w:cs="Arial"/>
        </w:rPr>
        <w:t> </w:t>
      </w:r>
      <w:r w:rsidR="006B4E37" w:rsidRPr="004E2B72">
        <w:rPr>
          <w:rFonts w:cs="Arial"/>
        </w:rPr>
        <w:t>každým</w:t>
      </w:r>
      <w:r w:rsidR="00D523ED" w:rsidRPr="004E2B72">
        <w:rPr>
          <w:rFonts w:cs="Arial"/>
        </w:rPr>
        <w:t>,</w:t>
      </w:r>
      <w:r w:rsidRPr="004E2B72">
        <w:rPr>
          <w:rFonts w:cs="Arial"/>
        </w:rPr>
        <w:t xml:space="preserve"> a každý náklad současně klasifikovat podle více z nich</w:t>
      </w:r>
      <w:r w:rsidR="006B4E37" w:rsidRPr="004E2B72">
        <w:rPr>
          <w:rFonts w:cs="Arial"/>
        </w:rPr>
        <w:t>. Výjimečnou roli hraje controlling nositelů nákladů, v našem případě primárně ICT projektů, středisek a služeb, který z prosté klasifikace či souběžného účtování přerůstá v metodu řízení.</w:t>
      </w:r>
      <w:r w:rsidR="008A4F6C" w:rsidRPr="004E2B72">
        <w:rPr>
          <w:rFonts w:cs="Arial"/>
        </w:rPr>
        <w:t xml:space="preserve"> Členění nákladů podle jejich nositelů je klíčem k řízení (regulaci) jejich spotřeby</w:t>
      </w:r>
      <w:r w:rsidRPr="004E2B72">
        <w:rPr>
          <w:rFonts w:cs="Arial"/>
        </w:rPr>
        <w:t xml:space="preserve"> a dosahování úspor</w:t>
      </w:r>
      <w:r w:rsidR="008A4F6C" w:rsidRPr="004E2B72">
        <w:rPr>
          <w:rFonts w:cs="Arial"/>
        </w:rPr>
        <w:t>, protože k nákladům přiřazuje jednoznačnou zodpovědnost za jejich spotřebu a ukazuje místa, kde je možno spotřebu řídit</w:t>
      </w:r>
      <w:r w:rsidR="00D523ED" w:rsidRPr="004E2B72">
        <w:rPr>
          <w:rFonts w:cs="Arial"/>
        </w:rPr>
        <w:t xml:space="preserve"> (omezovat)</w:t>
      </w:r>
      <w:r w:rsidR="008A4F6C" w:rsidRPr="004E2B72">
        <w:rPr>
          <w:rFonts w:cs="Arial"/>
        </w:rPr>
        <w:t>.</w:t>
      </w:r>
    </w:p>
    <w:p w14:paraId="0CC4FF36" w14:textId="22A05086" w:rsidR="006B4E37" w:rsidRPr="004E2B72" w:rsidRDefault="006B4E37" w:rsidP="00073E78">
      <w:pPr>
        <w:pStyle w:val="Zkladntext"/>
        <w:jc w:val="both"/>
        <w:rPr>
          <w:rFonts w:cs="Arial"/>
        </w:rPr>
      </w:pPr>
      <w:r w:rsidRPr="004E2B72">
        <w:rPr>
          <w:rFonts w:cs="Arial"/>
        </w:rPr>
        <w:t xml:space="preserve">Znalost způsobů kalkulace </w:t>
      </w:r>
      <w:r w:rsidR="003C08AB" w:rsidRPr="004E2B72">
        <w:rPr>
          <w:rFonts w:cs="Arial"/>
        </w:rPr>
        <w:t xml:space="preserve">oprávněných nákladů a z nich plynoucí </w:t>
      </w:r>
      <w:r w:rsidRPr="004E2B72">
        <w:rPr>
          <w:rFonts w:cs="Arial"/>
        </w:rPr>
        <w:t>oprávněné nákladové ceny ICT služby bude stále důležitější dovedností provozovatelů informačních systémů veřejné správy, zvláště při rostoucím podílu sdílených služeb a služeb cloudu.</w:t>
      </w:r>
      <w:r w:rsidR="008A4F6C" w:rsidRPr="004E2B72">
        <w:rPr>
          <w:rFonts w:cs="Arial"/>
        </w:rPr>
        <w:t xml:space="preserve"> </w:t>
      </w:r>
    </w:p>
    <w:p w14:paraId="2DE83E35" w14:textId="732461A8" w:rsidR="002A2F0D" w:rsidRPr="004E2B72" w:rsidRDefault="002B3B03" w:rsidP="00073E78">
      <w:pPr>
        <w:pStyle w:val="Zkladntext"/>
        <w:jc w:val="both"/>
        <w:rPr>
          <w:rFonts w:cs="Arial"/>
        </w:rPr>
      </w:pPr>
      <w:r w:rsidRPr="004E2B72">
        <w:rPr>
          <w:rFonts w:cs="Arial"/>
          <w:b/>
        </w:rPr>
        <w:t>V</w:t>
      </w:r>
      <w:r w:rsidR="006513B7" w:rsidRPr="004E2B72">
        <w:rPr>
          <w:rFonts w:cs="Arial"/>
          <w:b/>
        </w:rPr>
        <w:t xml:space="preserve"> ukazateli </w:t>
      </w:r>
      <w:r w:rsidRPr="004E2B72">
        <w:rPr>
          <w:rFonts w:cs="Arial"/>
          <w:b/>
        </w:rPr>
        <w:t>TCO</w:t>
      </w:r>
      <w:r w:rsidRPr="004E2B72">
        <w:rPr>
          <w:rFonts w:cs="Arial"/>
        </w:rPr>
        <w:t xml:space="preserve"> </w:t>
      </w:r>
      <w:r w:rsidR="006513B7" w:rsidRPr="004E2B72">
        <w:rPr>
          <w:rFonts w:cs="Arial"/>
        </w:rPr>
        <w:t xml:space="preserve">předmětného řešení </w:t>
      </w:r>
      <w:r w:rsidRPr="004E2B72">
        <w:rPr>
          <w:rFonts w:cs="Arial"/>
        </w:rPr>
        <w:t xml:space="preserve">se uplatňuje </w:t>
      </w:r>
      <w:r w:rsidRPr="004E2B72">
        <w:rPr>
          <w:rFonts w:cs="Arial"/>
          <w:b/>
        </w:rPr>
        <w:t>souhrn</w:t>
      </w:r>
      <w:r w:rsidR="006513B7" w:rsidRPr="004E2B72">
        <w:rPr>
          <w:rFonts w:cs="Arial"/>
          <w:b/>
        </w:rPr>
        <w:t xml:space="preserve"> (součet)</w:t>
      </w:r>
      <w:r w:rsidRPr="004E2B72">
        <w:rPr>
          <w:rFonts w:cs="Arial"/>
          <w:b/>
        </w:rPr>
        <w:t xml:space="preserve"> nákladů na všechny projekty spojené s</w:t>
      </w:r>
      <w:r w:rsidR="006513B7" w:rsidRPr="004E2B72">
        <w:rPr>
          <w:rFonts w:cs="Arial"/>
          <w:b/>
        </w:rPr>
        <w:t> </w:t>
      </w:r>
      <w:r w:rsidRPr="004E2B72">
        <w:rPr>
          <w:rFonts w:cs="Arial"/>
          <w:b/>
        </w:rPr>
        <w:t>řešením</w:t>
      </w:r>
      <w:r w:rsidRPr="004E2B72">
        <w:rPr>
          <w:rFonts w:cs="Arial"/>
        </w:rPr>
        <w:t xml:space="preserve"> a </w:t>
      </w:r>
      <w:r w:rsidRPr="004E2B72">
        <w:rPr>
          <w:rFonts w:cs="Arial"/>
          <w:b/>
        </w:rPr>
        <w:t>alikvótní část nákladu</w:t>
      </w:r>
      <w:r w:rsidRPr="004E2B72">
        <w:rPr>
          <w:rFonts w:cs="Arial"/>
        </w:rPr>
        <w:t xml:space="preserve"> </w:t>
      </w:r>
      <w:r w:rsidR="006B4E37" w:rsidRPr="004E2B72">
        <w:rPr>
          <w:rFonts w:cs="Arial"/>
        </w:rPr>
        <w:t xml:space="preserve">(liniově řízených) </w:t>
      </w:r>
      <w:r w:rsidRPr="004E2B72">
        <w:rPr>
          <w:rFonts w:cs="Arial"/>
          <w:b/>
        </w:rPr>
        <w:t>středisek</w:t>
      </w:r>
      <w:r w:rsidR="006B4E37" w:rsidRPr="004E2B72">
        <w:rPr>
          <w:rFonts w:cs="Arial"/>
        </w:rPr>
        <w:t>,</w:t>
      </w:r>
      <w:r w:rsidRPr="004E2B72">
        <w:rPr>
          <w:rFonts w:cs="Arial"/>
        </w:rPr>
        <w:t xml:space="preserve"> vykonávajících </w:t>
      </w:r>
      <w:r w:rsidR="006513B7" w:rsidRPr="004E2B72">
        <w:rPr>
          <w:rFonts w:cs="Arial"/>
        </w:rPr>
        <w:t xml:space="preserve">svými zdroji </w:t>
      </w:r>
      <w:r w:rsidRPr="004E2B72">
        <w:rPr>
          <w:rFonts w:cs="Arial"/>
        </w:rPr>
        <w:t>jeho průběžnou podporu</w:t>
      </w:r>
      <w:r w:rsidR="006B4E37" w:rsidRPr="004E2B72">
        <w:rPr>
          <w:rFonts w:cs="Arial"/>
        </w:rPr>
        <w:t>, údržbu a rozvoj.</w:t>
      </w:r>
    </w:p>
    <w:p w14:paraId="323E404E" w14:textId="64DD2104" w:rsidR="00FC2CA3" w:rsidRPr="004E2B72" w:rsidRDefault="00FC2CA3" w:rsidP="00073E78">
      <w:pPr>
        <w:pStyle w:val="Nadpis3"/>
        <w:jc w:val="both"/>
        <w:rPr>
          <w:rFonts w:cs="Arial"/>
        </w:rPr>
      </w:pPr>
      <w:bookmarkStart w:id="9" w:name="_Ref115686757"/>
      <w:bookmarkStart w:id="10" w:name="_Toc120784666"/>
      <w:r w:rsidRPr="004E2B72">
        <w:rPr>
          <w:rFonts w:cs="Arial"/>
        </w:rPr>
        <w:t>Model TCO – účelové členění ICT nákladů VS</w:t>
      </w:r>
      <w:bookmarkEnd w:id="9"/>
      <w:bookmarkEnd w:id="10"/>
    </w:p>
    <w:p w14:paraId="6F72E82B" w14:textId="77777777" w:rsidR="00FD39E2" w:rsidRDefault="002B34AA" w:rsidP="00073E78">
      <w:pPr>
        <w:jc w:val="both"/>
        <w:rPr>
          <w:rFonts w:cs="Arial"/>
        </w:rPr>
      </w:pPr>
      <w:r w:rsidRPr="004E2B72">
        <w:rPr>
          <w:rFonts w:cs="Arial"/>
        </w:rPr>
        <w:t xml:space="preserve">Náklady jsou pro šetření TCO sestaveny do řady kategorií v tzv. TCO modelu. Tento model představuje první dimenzi </w:t>
      </w:r>
      <w:r w:rsidR="00D523ED" w:rsidRPr="004E2B72">
        <w:rPr>
          <w:rFonts w:cs="Arial"/>
        </w:rPr>
        <w:t xml:space="preserve">účelového </w:t>
      </w:r>
      <w:r w:rsidRPr="004E2B72">
        <w:rPr>
          <w:rFonts w:cs="Arial"/>
        </w:rPr>
        <w:t>členění pohledů na ICT řešení a jeho náklady</w:t>
      </w:r>
      <w:r w:rsidR="00164BE3" w:rsidRPr="004E2B72">
        <w:rPr>
          <w:rFonts w:cs="Arial"/>
        </w:rPr>
        <w:t>, a to podle průběhu jeho životního cyklu</w:t>
      </w:r>
      <w:r w:rsidRPr="004E2B72">
        <w:rPr>
          <w:rFonts w:cs="Arial"/>
        </w:rPr>
        <w:t>.</w:t>
      </w:r>
      <w:r w:rsidR="00164BE3" w:rsidRPr="004E2B72">
        <w:rPr>
          <w:rFonts w:cs="Arial"/>
        </w:rPr>
        <w:t xml:space="preserve"> Zjednodušeně jsou to náklady čtyř hlavních skupin:</w:t>
      </w:r>
    </w:p>
    <w:p w14:paraId="0EAD8603" w14:textId="5C4D2204" w:rsidR="00FD39E2" w:rsidRPr="00FD39E2" w:rsidRDefault="00164BE3" w:rsidP="00073E78">
      <w:pPr>
        <w:pStyle w:val="Nadpis4"/>
        <w:jc w:val="both"/>
        <w:rPr>
          <w:b w:val="0"/>
          <w:bCs/>
          <w:i w:val="0"/>
          <w:iCs/>
        </w:rPr>
      </w:pPr>
      <w:r w:rsidRPr="00FD39E2">
        <w:rPr>
          <w:b w:val="0"/>
          <w:bCs/>
          <w:i w:val="0"/>
          <w:iCs/>
        </w:rPr>
        <w:t xml:space="preserve">na </w:t>
      </w:r>
      <w:r w:rsidR="00575926">
        <w:rPr>
          <w:b w:val="0"/>
          <w:bCs/>
          <w:i w:val="0"/>
          <w:iCs/>
        </w:rPr>
        <w:t xml:space="preserve">plánování a realizaci </w:t>
      </w:r>
      <w:r w:rsidRPr="00FD39E2">
        <w:rPr>
          <w:b w:val="0"/>
          <w:bCs/>
          <w:i w:val="0"/>
          <w:iCs/>
        </w:rPr>
        <w:t>pořízení,</w:t>
      </w:r>
    </w:p>
    <w:p w14:paraId="2489EC92" w14:textId="161EC919" w:rsidR="00FD39E2" w:rsidRPr="00FD39E2" w:rsidRDefault="00164BE3" w:rsidP="00073E78">
      <w:pPr>
        <w:pStyle w:val="Nadpis4"/>
        <w:jc w:val="both"/>
        <w:rPr>
          <w:b w:val="0"/>
          <w:bCs/>
          <w:i w:val="0"/>
          <w:iCs/>
        </w:rPr>
      </w:pPr>
      <w:r w:rsidRPr="00FD39E2">
        <w:rPr>
          <w:b w:val="0"/>
          <w:bCs/>
          <w:i w:val="0"/>
          <w:iCs/>
        </w:rPr>
        <w:t>na provoz,</w:t>
      </w:r>
    </w:p>
    <w:p w14:paraId="529835F6" w14:textId="36158F29" w:rsidR="00FD39E2" w:rsidRPr="00FD39E2" w:rsidRDefault="00164BE3" w:rsidP="00073E78">
      <w:pPr>
        <w:pStyle w:val="Nadpis4"/>
        <w:jc w:val="both"/>
        <w:rPr>
          <w:b w:val="0"/>
          <w:bCs/>
          <w:i w:val="0"/>
          <w:iCs/>
        </w:rPr>
      </w:pPr>
      <w:r w:rsidRPr="00FD39E2">
        <w:rPr>
          <w:b w:val="0"/>
          <w:bCs/>
          <w:i w:val="0"/>
          <w:iCs/>
        </w:rPr>
        <w:t xml:space="preserve">na změny a </w:t>
      </w:r>
    </w:p>
    <w:p w14:paraId="594E86AB" w14:textId="77777777" w:rsidR="00FD39E2" w:rsidRPr="00FD39E2" w:rsidRDefault="00164BE3" w:rsidP="00073E78">
      <w:pPr>
        <w:pStyle w:val="Nadpis4"/>
        <w:jc w:val="both"/>
        <w:rPr>
          <w:b w:val="0"/>
          <w:bCs/>
          <w:i w:val="0"/>
          <w:iCs/>
        </w:rPr>
      </w:pPr>
      <w:r w:rsidRPr="00FD39E2">
        <w:rPr>
          <w:b w:val="0"/>
          <w:bCs/>
          <w:i w:val="0"/>
          <w:iCs/>
        </w:rPr>
        <w:t xml:space="preserve">za zrušení dané aplikace, </w:t>
      </w:r>
    </w:p>
    <w:p w14:paraId="74ED8F10" w14:textId="0EE3EED8" w:rsidR="002B34AA" w:rsidRPr="00FD39E2" w:rsidRDefault="00164BE3" w:rsidP="00073E78">
      <w:pPr>
        <w:jc w:val="both"/>
        <w:rPr>
          <w:rFonts w:cs="Arial"/>
        </w:rPr>
      </w:pPr>
      <w:r w:rsidRPr="00FD39E2">
        <w:rPr>
          <w:rFonts w:cs="Arial"/>
        </w:rPr>
        <w:t>z nichž většina je ještě jemněji členěna, viz schéma</w:t>
      </w:r>
      <w:r w:rsidR="004B56CF" w:rsidRPr="00FD39E2">
        <w:rPr>
          <w:rFonts w:cs="Arial"/>
        </w:rPr>
        <w:t xml:space="preserve"> níže.</w:t>
      </w:r>
    </w:p>
    <w:p w14:paraId="05C1ED07" w14:textId="77F60165" w:rsidR="004B56CF" w:rsidRPr="004E2B72" w:rsidRDefault="004B56CF" w:rsidP="00073E78">
      <w:pPr>
        <w:jc w:val="both"/>
        <w:rPr>
          <w:rFonts w:cs="Arial"/>
        </w:rPr>
      </w:pPr>
      <w:r w:rsidRPr="004E2B72">
        <w:rPr>
          <w:rFonts w:cs="Arial"/>
        </w:rPr>
        <w:t xml:space="preserve">Model TCO rozděluje náklady věcným způsobem podle toho, k jaké typické fázi životního cyklu ICT řešení, k jaké typické činnosti této fáze, případně k jaké IT komoditě (HW, SW, služby) přísluší. Tedy podle tzv. </w:t>
      </w:r>
      <w:r w:rsidRPr="004E2B72">
        <w:rPr>
          <w:rFonts w:cs="Arial"/>
          <w:b/>
        </w:rPr>
        <w:t>účelového členění.</w:t>
      </w:r>
      <w:r w:rsidRPr="004E2B72">
        <w:rPr>
          <w:rFonts w:cs="Arial"/>
        </w:rPr>
        <w:t xml:space="preserve"> Vyjadřuje tak nikoli, jakého druhu byly použité zdroje (náklady), nýbrž k čemu posloužily. Současně při tom přihlíží k tomu, zda jsou to náklady jednorázové (projektově orientované a řízené, nejčastěji investiční), anebo průběžné (periodicky konstantní, liniově spotřebovávané a nejčastěji provozní). </w:t>
      </w:r>
    </w:p>
    <w:p w14:paraId="33A06A3E" w14:textId="727C1892" w:rsidR="0059008D" w:rsidRPr="004E2B72" w:rsidRDefault="00924F7A" w:rsidP="00073E78">
      <w:pPr>
        <w:jc w:val="both"/>
        <w:rPr>
          <w:rFonts w:cs="Arial"/>
        </w:rPr>
      </w:pPr>
      <w:r w:rsidRPr="004E2B72">
        <w:rPr>
          <w:rFonts w:cs="Arial"/>
          <w:noProof/>
        </w:rPr>
        <w:drawing>
          <wp:inline distT="0" distB="0" distL="0" distR="0" wp14:anchorId="3E8B76DA" wp14:editId="4FC8F6DC">
            <wp:extent cx="5288060" cy="3918124"/>
            <wp:effectExtent l="0" t="0" r="8255"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1360" cy="3927979"/>
                    </a:xfrm>
                    <a:prstGeom prst="rect">
                      <a:avLst/>
                    </a:prstGeom>
                    <a:noFill/>
                  </pic:spPr>
                </pic:pic>
              </a:graphicData>
            </a:graphic>
          </wp:inline>
        </w:drawing>
      </w:r>
    </w:p>
    <w:p w14:paraId="1DC78F21" w14:textId="77777777" w:rsidR="00924F7A" w:rsidRPr="004E2B72" w:rsidRDefault="00924F7A" w:rsidP="00073E78">
      <w:pPr>
        <w:jc w:val="both"/>
        <w:rPr>
          <w:rFonts w:cs="Arial"/>
        </w:rPr>
      </w:pPr>
    </w:p>
    <w:p w14:paraId="7BAEE7C7" w14:textId="77777777" w:rsidR="004B56CF" w:rsidRPr="004E2B72" w:rsidRDefault="004B56CF" w:rsidP="00073E78">
      <w:pPr>
        <w:jc w:val="both"/>
        <w:rPr>
          <w:rFonts w:cs="Arial"/>
        </w:rPr>
      </w:pPr>
      <w:r w:rsidRPr="004E2B72">
        <w:rPr>
          <w:rFonts w:cs="Arial"/>
        </w:rPr>
        <w:t xml:space="preserve">Umisťování (alokace) nákladů do jednotlivých kategorií a dalších uzlů hierarchie účelového Modelu TCO poskytuje </w:t>
      </w:r>
      <w:r w:rsidRPr="004E2B72">
        <w:rPr>
          <w:rFonts w:cs="Arial"/>
          <w:b/>
        </w:rPr>
        <w:t xml:space="preserve">kontrolní mechanismus, </w:t>
      </w:r>
      <w:r w:rsidRPr="004E2B72">
        <w:rPr>
          <w:rFonts w:cs="Arial"/>
        </w:rPr>
        <w:t>který umožňuje při identifikaci nákladů účinně ověřit, že žádné náklady odpovídající dosažené fázi životního cyklu řešení (nebo zahrnuté do jeho plánu) nezůstanou opominuty.</w:t>
      </w:r>
    </w:p>
    <w:p w14:paraId="7FFEAD02" w14:textId="77777777" w:rsidR="004B56CF" w:rsidRPr="004E2B72" w:rsidRDefault="004B56CF" w:rsidP="00073E78">
      <w:pPr>
        <w:jc w:val="both"/>
        <w:rPr>
          <w:rFonts w:cs="Arial"/>
        </w:rPr>
      </w:pPr>
      <w:r w:rsidRPr="004E2B72">
        <w:rPr>
          <w:rFonts w:cs="Arial"/>
        </w:rPr>
        <w:t xml:space="preserve">Členění nákladů </w:t>
      </w:r>
      <w:r w:rsidRPr="004E2B72">
        <w:rPr>
          <w:rFonts w:cs="Arial"/>
          <w:b/>
        </w:rPr>
        <w:t>zejména slouží</w:t>
      </w:r>
      <w:r w:rsidRPr="004E2B72">
        <w:rPr>
          <w:rFonts w:cs="Arial"/>
        </w:rPr>
        <w:t xml:space="preserve"> k tomu, aby v šetření bylo srovnáváno srovnatelné a aby výsledky šetření poskytly manažerům návod, kde je v jejich případě prostor pro zlepšení, tedy </w:t>
      </w:r>
      <w:r w:rsidRPr="004E2B72">
        <w:rPr>
          <w:rFonts w:cs="Arial"/>
          <w:b/>
        </w:rPr>
        <w:t>pro řízení nákladů</w:t>
      </w:r>
      <w:r w:rsidRPr="004E2B72">
        <w:rPr>
          <w:rFonts w:cs="Arial"/>
        </w:rPr>
        <w:t>. Například všechna řešení by měla mít postupně stále klesající náklady na provozní fázi a fázi údržby, čímž se při konstantním IT rozpočtu zvýší úřadu prostor pro další projekty eGovernmentu a pro rozvoj těch stávajících.</w:t>
      </w:r>
    </w:p>
    <w:p w14:paraId="68401F55" w14:textId="1C163843" w:rsidR="004B56CF" w:rsidRPr="004E2B72" w:rsidRDefault="004B56CF" w:rsidP="00073E78">
      <w:pPr>
        <w:jc w:val="both"/>
        <w:rPr>
          <w:rFonts w:cs="Arial"/>
        </w:rPr>
      </w:pPr>
      <w:r w:rsidRPr="004E2B72">
        <w:rPr>
          <w:rFonts w:cs="Arial"/>
        </w:rPr>
        <w:t xml:space="preserve">Tato struktura nákladů je </w:t>
      </w:r>
      <w:r w:rsidRPr="004E2B72">
        <w:rPr>
          <w:rFonts w:cs="Arial"/>
          <w:b/>
        </w:rPr>
        <w:t>záměrně navržena jako maximální a pevná</w:t>
      </w:r>
      <w:r w:rsidRPr="004E2B72">
        <w:rPr>
          <w:rFonts w:cs="Arial"/>
        </w:rPr>
        <w:t xml:space="preserve"> s tím, že podle způsobu pořízení ICT služby (a jejich kombinace) se některé kategorie nákladů v konkrétním případě neuplatní. Pro případy, kdy u </w:t>
      </w:r>
      <w:r w:rsidR="00D523ED" w:rsidRPr="004E2B72">
        <w:rPr>
          <w:rFonts w:cs="Arial"/>
        </w:rPr>
        <w:t>řešení v Cloudu</w:t>
      </w:r>
      <w:r w:rsidRPr="004E2B72">
        <w:rPr>
          <w:rFonts w:cs="Arial"/>
        </w:rPr>
        <w:t xml:space="preserve"> se nedají zjistit složky nákladů B, D, E, G a I byla do modelu vložena souhrnná kategorie průběžných nákladů X, </w:t>
      </w:r>
      <w:r w:rsidR="00D523ED" w:rsidRPr="004E2B72">
        <w:rPr>
          <w:rFonts w:cs="Arial"/>
        </w:rPr>
        <w:t xml:space="preserve">určená </w:t>
      </w:r>
      <w:r w:rsidRPr="004E2B72">
        <w:rPr>
          <w:rFonts w:cs="Arial"/>
        </w:rPr>
        <w:t xml:space="preserve">právě pro </w:t>
      </w:r>
      <w:r w:rsidR="00D523ED" w:rsidRPr="004E2B72">
        <w:rPr>
          <w:rFonts w:cs="Arial"/>
        </w:rPr>
        <w:t>poplatky za službu v Cloudu</w:t>
      </w:r>
      <w:r w:rsidRPr="004E2B72">
        <w:rPr>
          <w:rFonts w:cs="Arial"/>
        </w:rPr>
        <w:t xml:space="preserve">. U aplikace, kde se vyplní X, už se naopak </w:t>
      </w:r>
      <w:r w:rsidR="00D523ED" w:rsidRPr="004E2B72">
        <w:rPr>
          <w:rFonts w:cs="Arial"/>
        </w:rPr>
        <w:t xml:space="preserve">většinou </w:t>
      </w:r>
      <w:r w:rsidRPr="004E2B72">
        <w:rPr>
          <w:rFonts w:cs="Arial"/>
        </w:rPr>
        <w:t xml:space="preserve">nevyplní B, D, E, G a I, jenom částečně C a F, ale naopak všechny ostatní nákladové kategorie (A, H a Z), platné i v případě </w:t>
      </w:r>
      <w:r w:rsidR="00D523ED" w:rsidRPr="004E2B72">
        <w:rPr>
          <w:rFonts w:cs="Arial"/>
        </w:rPr>
        <w:t xml:space="preserve">Cloud </w:t>
      </w:r>
      <w:r w:rsidRPr="004E2B72">
        <w:rPr>
          <w:rFonts w:cs="Arial"/>
        </w:rPr>
        <w:t>se normálně uplatní, pokud jsou pro projekt relevantní.</w:t>
      </w:r>
    </w:p>
    <w:p w14:paraId="7EFEF896" w14:textId="5294E67F" w:rsidR="004B56CF" w:rsidRPr="004E2B72" w:rsidRDefault="004B56CF" w:rsidP="00073E78">
      <w:pPr>
        <w:jc w:val="both"/>
        <w:rPr>
          <w:rFonts w:cs="Arial"/>
        </w:rPr>
      </w:pPr>
      <w:r w:rsidRPr="004E2B72">
        <w:rPr>
          <w:rFonts w:cs="Arial"/>
        </w:rPr>
        <w:t xml:space="preserve">Zvýšené pozornosti jsou hodny náklady spojené s </w:t>
      </w:r>
      <w:r w:rsidRPr="004E2B72">
        <w:rPr>
          <w:rFonts w:cs="Arial"/>
          <w:b/>
        </w:rPr>
        <w:t xml:space="preserve">projekty průběžného zlepšování. </w:t>
      </w:r>
      <w:r w:rsidRPr="004E2B72">
        <w:rPr>
          <w:rFonts w:cs="Arial"/>
        </w:rPr>
        <w:t>Ty totiž mají smysl pouze tehdy, pokud přinášejí inovace pro zlepšení výkonu veřejné služby (funkčním</w:t>
      </w:r>
      <w:r w:rsidR="00D523ED" w:rsidRPr="004E2B72">
        <w:rPr>
          <w:rFonts w:cs="Arial"/>
        </w:rPr>
        <w:t>,</w:t>
      </w:r>
      <w:r w:rsidRPr="004E2B72">
        <w:rPr>
          <w:rFonts w:cs="Arial"/>
        </w:rPr>
        <w:t xml:space="preserve"> technickým nebo rozsahovým rozšířením). Zejména projekty nákladové optimalizace jsou ale důležité, neboť představují investice do úspory – jejich dokončení se obvykle projevuje snížením provozní části ICT rozpočtu úřadu. To umožňuje buď celkově rozpočet snížit, nebo jej použít pro inovativní zlepšování.</w:t>
      </w:r>
    </w:p>
    <w:p w14:paraId="124BECA3" w14:textId="45928687" w:rsidR="004B56CF" w:rsidRPr="004E2B72" w:rsidRDefault="004B56CF" w:rsidP="00073E78">
      <w:pPr>
        <w:jc w:val="both"/>
        <w:rPr>
          <w:rFonts w:cs="Arial"/>
        </w:rPr>
      </w:pPr>
      <w:r w:rsidRPr="004E2B72">
        <w:rPr>
          <w:rFonts w:cs="Arial"/>
        </w:rPr>
        <w:t xml:space="preserve">Zvláštní postavení v TCO modelu mají tzv. </w:t>
      </w:r>
      <w:r w:rsidRPr="00C80226">
        <w:rPr>
          <w:rFonts w:cs="Arial"/>
          <w:b/>
        </w:rPr>
        <w:t xml:space="preserve">Zvýšené </w:t>
      </w:r>
      <w:r w:rsidRPr="004E2B72">
        <w:rPr>
          <w:rFonts w:cs="Arial"/>
          <w:b/>
        </w:rPr>
        <w:t>náklady užívání řešení.</w:t>
      </w:r>
      <w:r w:rsidRPr="004E2B72">
        <w:rPr>
          <w:rFonts w:cs="Arial"/>
        </w:rPr>
        <w:t xml:space="preserve"> Tato kategorie umožňuje zachytit prokazatelné a významné náklady, vyvolané zavedením nového ICT řešení, jež způsobilo (v porovnání s předchozím stavem) podstatně vyšší náklady na udržení zaměstnanců ve stavu schopném systém užívat, například čas a náklady na jejich školení. Anebo dokonce umožňuje zachytit situace, kdy nové řešení způsobilo vyčíslitelné zhoršení výkonu veřejné služby a zvýšené náklady na její zajištění (odstávky systémů při nemožnosti pracovat bez nich, více úředníků, přesčasy apod., například v případech, kdy nová aplikace byla násobně pomalejší než původní). Tyto náklady jsou označeny jako průběžné, ale mohou být i jednorázové, vždy musí být doprovázeny vysvětlením. Pro zjednodušené šetření nebudou ani jedny tyto náklady uvažovány.</w:t>
      </w:r>
      <w:r w:rsidR="00D523ED" w:rsidRPr="004E2B72">
        <w:rPr>
          <w:rFonts w:cs="Arial"/>
        </w:rPr>
        <w:t xml:space="preserve"> Výskyt takovýchto nákladů je nežádoucí, ale protože v některých případech nastávají, je metodika připravena je věrně zachytit.</w:t>
      </w:r>
    </w:p>
    <w:p w14:paraId="1E9D6191" w14:textId="5DDF8316" w:rsidR="0008366C" w:rsidRPr="004E2B72" w:rsidRDefault="004B56CF" w:rsidP="00073E78">
      <w:pPr>
        <w:jc w:val="both"/>
        <w:rPr>
          <w:rFonts w:cs="Arial"/>
        </w:rPr>
      </w:pPr>
      <w:r w:rsidRPr="004E2B72">
        <w:rPr>
          <w:rFonts w:cs="Arial"/>
        </w:rPr>
        <w:t xml:space="preserve">Ostatní </w:t>
      </w:r>
      <w:r w:rsidRPr="004E2B72">
        <w:rPr>
          <w:rFonts w:cs="Arial"/>
          <w:b/>
        </w:rPr>
        <w:t>režijní náklady</w:t>
      </w:r>
      <w:r w:rsidRPr="004E2B72">
        <w:rPr>
          <w:rFonts w:cs="Arial"/>
        </w:rPr>
        <w:t xml:space="preserve"> ICT oddělení na zajištění ICT služeb, včetně nákupu sdílených služeb od jiných útvarů (personalistika, účetnictví, nákup, správa budov apod.)</w:t>
      </w:r>
      <w:r w:rsidR="00D523ED" w:rsidRPr="004E2B72">
        <w:rPr>
          <w:rFonts w:cs="Arial"/>
        </w:rPr>
        <w:t>,</w:t>
      </w:r>
      <w:r w:rsidRPr="004E2B72">
        <w:rPr>
          <w:rFonts w:cs="Arial"/>
        </w:rPr>
        <w:t xml:space="preserve"> obvykle společně se mzdou a jejím příslušenstvím vstupují do kalkulace tzv. úplných nákladů na zaměstnance FLC</w:t>
      </w:r>
      <w:r w:rsidRPr="004E2B72">
        <w:rPr>
          <w:rStyle w:val="Znakapoznpodarou"/>
          <w:rFonts w:cs="Arial"/>
        </w:rPr>
        <w:footnoteReference w:id="17"/>
      </w:r>
      <w:r w:rsidRPr="004E2B72">
        <w:rPr>
          <w:rFonts w:cs="Arial"/>
        </w:rPr>
        <w:t xml:space="preserve"> . Pomocí této interní nákladové sazby se pak rozpouštějí do nákladových kalkulací jednotlivých ICT služeb a do TCO jejich řešení. Dokud nebyla kalkulace FLC provedena a uplatněna, jsou tyto režie uváděny zde zvlášť, pokud jsou v daném šetření požadovány – v zjednodušených šetřeních nikoli.</w:t>
      </w:r>
    </w:p>
    <w:p w14:paraId="485D123C" w14:textId="1440599A" w:rsidR="00021AB4" w:rsidRPr="004E2B72" w:rsidRDefault="00164BE3" w:rsidP="00073E78">
      <w:pPr>
        <w:jc w:val="both"/>
        <w:rPr>
          <w:rFonts w:cs="Arial"/>
        </w:rPr>
      </w:pPr>
      <w:r w:rsidRPr="004E2B72">
        <w:rPr>
          <w:rFonts w:cs="Arial"/>
        </w:rPr>
        <w:t xml:space="preserve">Do modelu by bylo dobré perspektivně zahrnout ještě tzv. </w:t>
      </w:r>
      <w:r w:rsidRPr="004E2B72">
        <w:rPr>
          <w:rFonts w:cs="Arial"/>
          <w:b/>
        </w:rPr>
        <w:t>„náklady z obětované příležitosti</w:t>
      </w:r>
      <w:r w:rsidRPr="004E2B72">
        <w:rPr>
          <w:rStyle w:val="Znakapoznpodarou"/>
          <w:rFonts w:cs="Arial"/>
          <w:b/>
        </w:rPr>
        <w:footnoteReference w:id="18"/>
      </w:r>
      <w:r w:rsidRPr="004E2B72">
        <w:rPr>
          <w:rFonts w:cs="Arial"/>
          <w:b/>
        </w:rPr>
        <w:t>“</w:t>
      </w:r>
      <w:r w:rsidRPr="004E2B72">
        <w:rPr>
          <w:rFonts w:cs="Arial"/>
        </w:rPr>
        <w:t xml:space="preserve">, vystihující ověřenou skutečnost, že průběhu dlouhodobého vlastnictví řešení začnou provozní náklady při zdánlivém „nic nedělání“ podstatně růst, pokud se včas neprovede investice do obnovy klíčových zařízení. Při kontrole </w:t>
      </w:r>
      <w:r w:rsidR="00314FC1" w:rsidRPr="004E2B72">
        <w:rPr>
          <w:rFonts w:cs="Arial"/>
        </w:rPr>
        <w:t xml:space="preserve">projektu dle </w:t>
      </w:r>
      <w:r w:rsidRPr="004E2B72">
        <w:rPr>
          <w:rFonts w:cs="Arial"/>
        </w:rPr>
        <w:t>tohoto modelu to znamená</w:t>
      </w:r>
      <w:r w:rsidR="00314FC1" w:rsidRPr="004E2B72">
        <w:rPr>
          <w:rFonts w:cs="Arial"/>
        </w:rPr>
        <w:t xml:space="preserve"> ověřit</w:t>
      </w:r>
      <w:r w:rsidRPr="004E2B72">
        <w:rPr>
          <w:rFonts w:cs="Arial"/>
        </w:rPr>
        <w:t xml:space="preserve">, že v pozdějších letech </w:t>
      </w:r>
      <w:r w:rsidR="00314FC1" w:rsidRPr="004E2B72">
        <w:rPr>
          <w:rFonts w:cs="Arial"/>
        </w:rPr>
        <w:t xml:space="preserve">projektu </w:t>
      </w:r>
      <w:r w:rsidRPr="004E2B72">
        <w:rPr>
          <w:rFonts w:cs="Arial"/>
        </w:rPr>
        <w:t xml:space="preserve">je potřeba v TCO plánovat další investici do zařízení (např. B1 nebo F2) nebo počítat s nárůstem provozu a údržby (např. D2 a E1). </w:t>
      </w:r>
    </w:p>
    <w:p w14:paraId="19D566FD" w14:textId="77777777" w:rsidR="0059008D" w:rsidRPr="004E2B72" w:rsidRDefault="0059008D" w:rsidP="00073E78">
      <w:pPr>
        <w:jc w:val="both"/>
        <w:rPr>
          <w:rFonts w:cs="Arial"/>
        </w:rPr>
      </w:pPr>
    </w:p>
    <w:p w14:paraId="2DAD5115" w14:textId="1D8531D4" w:rsidR="00021AB4" w:rsidRPr="004E2B72" w:rsidRDefault="00021AB4" w:rsidP="00073E78">
      <w:pPr>
        <w:jc w:val="both"/>
        <w:rPr>
          <w:rFonts w:cs="Arial"/>
        </w:rPr>
      </w:pPr>
      <w:r w:rsidRPr="004E2B72">
        <w:rPr>
          <w:rFonts w:cs="Arial"/>
        </w:rPr>
        <w:t xml:space="preserve">Formální hierarchická struktura </w:t>
      </w:r>
      <w:r w:rsidR="004E2F39" w:rsidRPr="004E2B72">
        <w:rPr>
          <w:rFonts w:cs="Arial"/>
        </w:rPr>
        <w:t xml:space="preserve">účelového </w:t>
      </w:r>
      <w:r w:rsidRPr="004E2B72">
        <w:rPr>
          <w:rFonts w:cs="Arial"/>
        </w:rPr>
        <w:t xml:space="preserve">nákladového modelu </w:t>
      </w:r>
      <w:r w:rsidR="00314FC1" w:rsidRPr="004E2B72">
        <w:rPr>
          <w:rFonts w:cs="Arial"/>
        </w:rPr>
        <w:t>ukazatele TCO je čtyřstup</w:t>
      </w:r>
      <w:r w:rsidRPr="004E2B72">
        <w:rPr>
          <w:rFonts w:cs="Arial"/>
        </w:rPr>
        <w:t>ňová, viz následující schéma:</w:t>
      </w:r>
    </w:p>
    <w:p w14:paraId="64ED5C5B" w14:textId="7EE4E009" w:rsidR="007B79DA" w:rsidRPr="004E2B72" w:rsidRDefault="0052244E" w:rsidP="00073E78">
      <w:pPr>
        <w:jc w:val="both"/>
        <w:rPr>
          <w:rFonts w:cs="Arial"/>
        </w:rPr>
      </w:pPr>
      <w:r w:rsidRPr="004E2B72">
        <w:rPr>
          <w:rFonts w:cs="Arial"/>
          <w:noProof/>
        </w:rPr>
        <w:drawing>
          <wp:inline distT="0" distB="0" distL="0" distR="0" wp14:anchorId="14AE53A8" wp14:editId="2D73B427">
            <wp:extent cx="5014800" cy="104040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4800" cy="1040400"/>
                    </a:xfrm>
                    <a:prstGeom prst="rect">
                      <a:avLst/>
                    </a:prstGeom>
                    <a:noFill/>
                  </pic:spPr>
                </pic:pic>
              </a:graphicData>
            </a:graphic>
          </wp:inline>
        </w:drawing>
      </w:r>
    </w:p>
    <w:p w14:paraId="3A7B74BA" w14:textId="0843D49D" w:rsidR="00314FC1" w:rsidRPr="004E2B72" w:rsidRDefault="007B79DA" w:rsidP="00073E78">
      <w:pPr>
        <w:jc w:val="both"/>
        <w:rPr>
          <w:rFonts w:cs="Arial"/>
        </w:rPr>
      </w:pPr>
      <w:r w:rsidRPr="004E2B72">
        <w:rPr>
          <w:rFonts w:cs="Arial"/>
        </w:rPr>
        <w:t xml:space="preserve">Model TCO na obrázku výše zahrnuje pouze nákladové kategorie a </w:t>
      </w:r>
      <w:commentRangeStart w:id="11"/>
      <w:r w:rsidRPr="004E2B72">
        <w:rPr>
          <w:rFonts w:cs="Arial"/>
        </w:rPr>
        <w:t>komponenty</w:t>
      </w:r>
      <w:commentRangeEnd w:id="11"/>
      <w:r w:rsidR="00FA183E" w:rsidRPr="004E2B72">
        <w:rPr>
          <w:rStyle w:val="Odkaznakoment"/>
          <w:rFonts w:cs="Arial"/>
        </w:rPr>
        <w:commentReference w:id="11"/>
      </w:r>
      <w:r w:rsidRPr="004E2B72">
        <w:rPr>
          <w:rFonts w:cs="Arial"/>
        </w:rPr>
        <w:t>, v příloze tohoto dokumentu bude udržována kompletní tabulka, včetně dosud identifikovaných nákladových prvků</w:t>
      </w:r>
      <w:r w:rsidR="003D6E0A" w:rsidRPr="004E2B72">
        <w:rPr>
          <w:rFonts w:cs="Arial"/>
        </w:rPr>
        <w:t>, viz kapitola</w:t>
      </w:r>
      <w:r w:rsidR="00CC2232" w:rsidRPr="004E2B72">
        <w:rPr>
          <w:rFonts w:cs="Arial"/>
        </w:rPr>
        <w:t xml:space="preserve"> </w:t>
      </w:r>
      <w:r w:rsidR="00CC2232" w:rsidRPr="004E2B72">
        <w:rPr>
          <w:rFonts w:cs="Arial"/>
        </w:rPr>
        <w:fldChar w:fldCharType="begin"/>
      </w:r>
      <w:r w:rsidR="00CC2232" w:rsidRPr="004E2B72">
        <w:rPr>
          <w:rFonts w:cs="Arial"/>
        </w:rPr>
        <w:instrText xml:space="preserve"> REF _Ref438145943 \r \h </w:instrText>
      </w:r>
      <w:r w:rsidR="004E2B72">
        <w:rPr>
          <w:rFonts w:cs="Arial"/>
        </w:rPr>
        <w:instrText xml:space="preserve"> \* MERGEFORMAT </w:instrText>
      </w:r>
      <w:r w:rsidR="00CC2232" w:rsidRPr="004E2B72">
        <w:rPr>
          <w:rFonts w:cs="Arial"/>
        </w:rPr>
      </w:r>
      <w:r w:rsidR="00CC2232" w:rsidRPr="004E2B72">
        <w:rPr>
          <w:rFonts w:cs="Arial"/>
        </w:rPr>
        <w:fldChar w:fldCharType="separate"/>
      </w:r>
      <w:r w:rsidR="006C3B6D" w:rsidRPr="004E2B72">
        <w:rPr>
          <w:rFonts w:cs="Arial"/>
        </w:rPr>
        <w:t>5.1</w:t>
      </w:r>
      <w:r w:rsidR="00CC2232" w:rsidRPr="004E2B72">
        <w:rPr>
          <w:rFonts w:cs="Arial"/>
        </w:rPr>
        <w:fldChar w:fldCharType="end"/>
      </w:r>
      <w:r w:rsidR="00CC2232" w:rsidRPr="004E2B72">
        <w:rPr>
          <w:rFonts w:cs="Arial"/>
        </w:rPr>
        <w:t xml:space="preserve"> -</w:t>
      </w:r>
      <w:r w:rsidR="006C3B6D" w:rsidRPr="004E2B72">
        <w:rPr>
          <w:rFonts w:cs="Arial"/>
        </w:rPr>
        <w:t xml:space="preserve"> </w:t>
      </w:r>
      <w:r w:rsidR="006C3B6D" w:rsidRPr="004E2B72">
        <w:rPr>
          <w:rFonts w:cs="Arial"/>
        </w:rPr>
        <w:fldChar w:fldCharType="begin"/>
      </w:r>
      <w:r w:rsidR="006C3B6D" w:rsidRPr="004E2B72">
        <w:rPr>
          <w:rFonts w:cs="Arial"/>
        </w:rPr>
        <w:instrText xml:space="preserve"> REF _Ref115686487 \h </w:instrText>
      </w:r>
      <w:r w:rsidR="004E2B72">
        <w:rPr>
          <w:rFonts w:cs="Arial"/>
        </w:rPr>
        <w:instrText xml:space="preserve"> \* MERGEFORMAT </w:instrText>
      </w:r>
      <w:r w:rsidR="006C3B6D" w:rsidRPr="004E2B72">
        <w:rPr>
          <w:rFonts w:cs="Arial"/>
        </w:rPr>
      </w:r>
      <w:r w:rsidR="006C3B6D" w:rsidRPr="004E2B72">
        <w:rPr>
          <w:rFonts w:cs="Arial"/>
        </w:rPr>
        <w:fldChar w:fldCharType="separate"/>
      </w:r>
      <w:r w:rsidR="006C3B6D" w:rsidRPr="004E2B72">
        <w:rPr>
          <w:rFonts w:cs="Arial"/>
        </w:rPr>
        <w:t>Příloha 1: Úplná struktura nákladového modelu</w:t>
      </w:r>
      <w:r w:rsidR="006C3B6D" w:rsidRPr="004E2B72">
        <w:rPr>
          <w:rFonts w:cs="Arial"/>
        </w:rPr>
        <w:fldChar w:fldCharType="end"/>
      </w:r>
      <w:r w:rsidRPr="004E2B72">
        <w:rPr>
          <w:rFonts w:cs="Arial"/>
        </w:rPr>
        <w:t xml:space="preserve">. </w:t>
      </w:r>
      <w:r w:rsidR="006C3B6D" w:rsidRPr="004E2B72">
        <w:rPr>
          <w:rFonts w:cs="Arial"/>
        </w:rPr>
        <w:t>Součástí přílohy je také grafický diagram obsahující nákladové kategorie a nákladové komponenty.</w:t>
      </w:r>
    </w:p>
    <w:p w14:paraId="359A97DD" w14:textId="12C4B619" w:rsidR="002B7A4B" w:rsidRPr="004E2B72" w:rsidRDefault="007B79DA" w:rsidP="00073E78">
      <w:pPr>
        <w:jc w:val="both"/>
        <w:rPr>
          <w:rFonts w:cs="Arial"/>
          <w:szCs w:val="22"/>
        </w:rPr>
      </w:pPr>
      <w:r w:rsidRPr="004E2B72">
        <w:rPr>
          <w:rFonts w:cs="Arial"/>
        </w:rPr>
        <w:t>Zatímco struktura nákladových kategorií by se již měla měnit pouze výjimečně, struktura nákladových komponent a prvků bude průběžně aktualizována OHA MV na základě zkušeností z praktického použití TCO modelu.</w:t>
      </w:r>
    </w:p>
    <w:p w14:paraId="0587C942" w14:textId="77777777" w:rsidR="00FF22A2" w:rsidRPr="004E2B72" w:rsidRDefault="00FF22A2" w:rsidP="00FF22A2">
      <w:pPr>
        <w:pStyle w:val="Nadpis2"/>
      </w:pPr>
      <w:bookmarkStart w:id="12" w:name="_Toc120784667"/>
      <w:r w:rsidRPr="004E2B72">
        <w:t>Postup kalkulace, alokace a vyhodnocení nákladů</w:t>
      </w:r>
      <w:bookmarkEnd w:id="12"/>
    </w:p>
    <w:p w14:paraId="45409782" w14:textId="77777777" w:rsidR="00FF22A2" w:rsidRPr="004E2B72" w:rsidRDefault="00FF22A2" w:rsidP="00FF22A2">
      <w:pPr>
        <w:jc w:val="both"/>
        <w:rPr>
          <w:rFonts w:cs="Arial"/>
        </w:rPr>
      </w:pPr>
      <w:r w:rsidRPr="004E2B72">
        <w:rPr>
          <w:rFonts w:cs="Arial"/>
        </w:rPr>
        <w:t>Postup zjištění nákladů pro ukazatel TCO sestává z následujících čtyřech kroků:</w:t>
      </w:r>
    </w:p>
    <w:p w14:paraId="5A012859" w14:textId="77777777" w:rsidR="00FF22A2" w:rsidRPr="004E2B72" w:rsidRDefault="00FF22A2" w:rsidP="00FF22A2">
      <w:pPr>
        <w:pStyle w:val="Odstavecseseznamem"/>
        <w:numPr>
          <w:ilvl w:val="0"/>
          <w:numId w:val="49"/>
        </w:numPr>
        <w:tabs>
          <w:tab w:val="clear" w:pos="284"/>
          <w:tab w:val="clear" w:pos="567"/>
          <w:tab w:val="left" w:pos="709"/>
        </w:tabs>
        <w:spacing w:before="80" w:after="0"/>
        <w:ind w:left="714" w:hanging="357"/>
        <w:contextualSpacing w:val="0"/>
        <w:jc w:val="both"/>
        <w:rPr>
          <w:rFonts w:cs="Arial"/>
        </w:rPr>
      </w:pPr>
      <w:r w:rsidRPr="004E2B72">
        <w:rPr>
          <w:rFonts w:cs="Arial"/>
        </w:rPr>
        <w:t>Identifikace potřebných typů zdrojů - například datové centrum a jeho HW, SW, stavební a technologické vybavení, vlastní a cizí zaměstnanci, licence, znalosti apod.</w:t>
      </w:r>
    </w:p>
    <w:p w14:paraId="7975BB2A" w14:textId="77777777" w:rsidR="00FF22A2" w:rsidRPr="004E2B72" w:rsidRDefault="00FF22A2" w:rsidP="00FF22A2">
      <w:pPr>
        <w:pStyle w:val="Odstavecseseznamem"/>
        <w:numPr>
          <w:ilvl w:val="0"/>
          <w:numId w:val="49"/>
        </w:numPr>
        <w:tabs>
          <w:tab w:val="clear" w:pos="284"/>
          <w:tab w:val="clear" w:pos="567"/>
          <w:tab w:val="left" w:pos="709"/>
        </w:tabs>
        <w:spacing w:before="80" w:after="0"/>
        <w:ind w:left="714" w:hanging="357"/>
        <w:contextualSpacing w:val="0"/>
        <w:jc w:val="both"/>
        <w:rPr>
          <w:rFonts w:cs="Arial"/>
        </w:rPr>
      </w:pPr>
      <w:r w:rsidRPr="004E2B72">
        <w:rPr>
          <w:rFonts w:cs="Arial"/>
        </w:rPr>
        <w:t>Ocenění jednotky výkonu zdrojů - například cena za 1 m</w:t>
      </w:r>
      <w:r w:rsidRPr="004E2B72">
        <w:rPr>
          <w:rFonts w:cs="Arial"/>
          <w:vertAlign w:val="superscript"/>
        </w:rPr>
        <w:t>2</w:t>
      </w:r>
      <w:r w:rsidRPr="004E2B72">
        <w:rPr>
          <w:rFonts w:cs="Arial"/>
        </w:rPr>
        <w:t xml:space="preserve"> kancelářské plochy, za 1 hodinu práce zaměstnance, za 1 GB úložného prostoru, za 1 licenci typového uživatele, apod.</w:t>
      </w:r>
    </w:p>
    <w:p w14:paraId="349A3C7C" w14:textId="77777777" w:rsidR="00FF22A2" w:rsidRPr="004E2B72" w:rsidRDefault="00FF22A2" w:rsidP="00FF22A2">
      <w:pPr>
        <w:pStyle w:val="Odstavecseseznamem"/>
        <w:numPr>
          <w:ilvl w:val="0"/>
          <w:numId w:val="49"/>
        </w:numPr>
        <w:tabs>
          <w:tab w:val="clear" w:pos="284"/>
          <w:tab w:val="clear" w:pos="567"/>
          <w:tab w:val="left" w:pos="709"/>
        </w:tabs>
        <w:spacing w:before="80" w:after="0"/>
        <w:ind w:left="714" w:hanging="357"/>
        <w:contextualSpacing w:val="0"/>
        <w:jc w:val="both"/>
        <w:rPr>
          <w:rFonts w:cs="Arial"/>
        </w:rPr>
      </w:pPr>
      <w:r w:rsidRPr="004E2B72">
        <w:rPr>
          <w:rFonts w:cs="Arial"/>
        </w:rPr>
        <w:t xml:space="preserve">Stanovení množství spotřebovaných </w:t>
      </w:r>
      <w:r>
        <w:rPr>
          <w:rFonts w:cs="Arial"/>
        </w:rPr>
        <w:t>jednotek výkonu</w:t>
      </w:r>
      <w:r w:rsidRPr="004E2B72">
        <w:rPr>
          <w:rFonts w:cs="Arial"/>
        </w:rPr>
        <w:t xml:space="preserve"> zdrojů za období a prvotního nositele nákladů</w:t>
      </w:r>
    </w:p>
    <w:p w14:paraId="1C0F2F33" w14:textId="77777777" w:rsidR="00FF22A2" w:rsidRPr="004E2B72" w:rsidRDefault="00FF22A2" w:rsidP="00FF22A2">
      <w:pPr>
        <w:pStyle w:val="Odstavecseseznamem"/>
        <w:numPr>
          <w:ilvl w:val="0"/>
          <w:numId w:val="49"/>
        </w:numPr>
        <w:tabs>
          <w:tab w:val="clear" w:pos="284"/>
          <w:tab w:val="clear" w:pos="567"/>
          <w:tab w:val="left" w:pos="709"/>
        </w:tabs>
        <w:spacing w:before="80" w:after="0"/>
        <w:ind w:left="714" w:hanging="357"/>
        <w:contextualSpacing w:val="0"/>
        <w:jc w:val="both"/>
        <w:rPr>
          <w:rFonts w:cs="Arial"/>
        </w:rPr>
      </w:pPr>
      <w:r w:rsidRPr="004E2B72">
        <w:rPr>
          <w:rFonts w:cs="Arial"/>
        </w:rPr>
        <w:t>Přiřazení a rozúčtování nákladů jednotlivým nositelům nákladů (organizační struktura středisek, projektová struktura, ICT TCO model apod.).</w:t>
      </w:r>
    </w:p>
    <w:p w14:paraId="0D927C51" w14:textId="77777777" w:rsidR="00FF22A2" w:rsidRPr="004E2B72" w:rsidRDefault="00FF22A2" w:rsidP="00FF22A2">
      <w:pPr>
        <w:jc w:val="both"/>
        <w:rPr>
          <w:rFonts w:cs="Arial"/>
        </w:rPr>
      </w:pPr>
      <w:r w:rsidRPr="004E2B72">
        <w:rPr>
          <w:rFonts w:cs="Arial"/>
        </w:rPr>
        <w:t>Stejný postup se uplatňuje jak při plánování (kalkulaci) a při predikci (odhadu, předpovědi), tak při zjištění skutečného stavu čerpání nákladů. Tyto hodnoty se následně vzájemně porovnávají, viz kapitola o vyhodnocení nákladů, a podle identifikovaných příležitostí ke zlepšení se plánují a realizují příslušná opatření.</w:t>
      </w:r>
    </w:p>
    <w:p w14:paraId="47B7D929" w14:textId="77777777" w:rsidR="00FF22A2" w:rsidRPr="004E2B72" w:rsidRDefault="00FF22A2" w:rsidP="00FF22A2">
      <w:pPr>
        <w:jc w:val="both"/>
        <w:rPr>
          <w:rFonts w:cs="Arial"/>
        </w:rPr>
      </w:pPr>
      <w:r w:rsidRPr="004E2B72">
        <w:rPr>
          <w:rFonts w:cs="Arial"/>
        </w:rPr>
        <w:t>Přiřazení přímých, jednicových nákladů se obvykle dělá jednokrokově. Naopak přiřazení nepřímých, režijních nákladů se dělá buď pomocí sběrného nositele nákladů (jako jsou režie v Modelu TCO) nebo vícekrokově, přes zahrnutí do kalkulační ceny (tarifu) určitého zdroje.</w:t>
      </w:r>
    </w:p>
    <w:p w14:paraId="7312DA66" w14:textId="77777777" w:rsidR="00FF22A2" w:rsidRPr="004E2B72" w:rsidRDefault="00FF22A2" w:rsidP="00FF22A2">
      <w:pPr>
        <w:jc w:val="both"/>
        <w:rPr>
          <w:rFonts w:cs="Arial"/>
        </w:rPr>
      </w:pPr>
      <w:r w:rsidRPr="004E2B72">
        <w:rPr>
          <w:rFonts w:cs="Arial"/>
        </w:rPr>
        <w:t>Příklad: náklady tepla, světla, údržby prostor, používaných pracovníky na projektu, stejně jako jejich sdíleného vybavení, je možná přiřadit (rozdělit) statickému nositeli nákladů Nákladové středisko, odpovídajícímu například jednomu oddělení. Příslušná část těchto nákladů je poté rozpočtena stanoveným klíčem</w:t>
      </w:r>
      <w:r>
        <w:rPr>
          <w:rFonts w:cs="Arial"/>
        </w:rPr>
        <w:t>, nejjednodušeji jako prostý podíl,</w:t>
      </w:r>
      <w:r w:rsidRPr="004E2B72">
        <w:rPr>
          <w:rFonts w:cs="Arial"/>
        </w:rPr>
        <w:t xml:space="preserve"> na jednotlivé zaměstnance oddělení. </w:t>
      </w:r>
      <w:r>
        <w:rPr>
          <w:rFonts w:cs="Arial"/>
        </w:rPr>
        <w:t>Tyto rozpočtené náklady s</w:t>
      </w:r>
      <w:r w:rsidRPr="004E2B72">
        <w:rPr>
          <w:rFonts w:cs="Arial"/>
        </w:rPr>
        <w:t xml:space="preserve">polečně s personálními náklady zaměstnance a náklady na jeho osobní vybavení pak tvoří nákladovou cenu práce tohoto zaměstnance, jeho tarif tzv. FLC (Fully Loaded Costs). </w:t>
      </w:r>
    </w:p>
    <w:p w14:paraId="35517976" w14:textId="77777777" w:rsidR="00FF22A2" w:rsidRPr="004E2B72" w:rsidRDefault="00FF22A2" w:rsidP="00FF22A2">
      <w:pPr>
        <w:jc w:val="both"/>
        <w:rPr>
          <w:rFonts w:cs="Arial"/>
        </w:rPr>
      </w:pPr>
      <w:r w:rsidRPr="004E2B72">
        <w:rPr>
          <w:rFonts w:cs="Arial"/>
        </w:rPr>
        <w:t>Teprve takové ceny zdrojů jsou uplatňovány při kalkulaci TCO IT projektu.</w:t>
      </w:r>
    </w:p>
    <w:p w14:paraId="39712049" w14:textId="1E2A80AA" w:rsidR="00372FC2" w:rsidRPr="00C80226" w:rsidRDefault="00372FC2" w:rsidP="00C80226">
      <w:pPr>
        <w:pStyle w:val="Nadpis3"/>
      </w:pPr>
      <w:bookmarkStart w:id="13" w:name="_Toc120784668"/>
      <w:r w:rsidRPr="00C80226">
        <w:t>Výpočet nebo odhad personálních nákladů</w:t>
      </w:r>
      <w:bookmarkEnd w:id="13"/>
    </w:p>
    <w:p w14:paraId="5F96AE22" w14:textId="3018EC9E" w:rsidR="00372FC2" w:rsidRDefault="00372FC2" w:rsidP="00C80226">
      <w:pPr>
        <w:pStyle w:val="Zkladntext"/>
      </w:pPr>
      <w:r w:rsidRPr="00C80226">
        <w:rPr>
          <w:highlight w:val="yellow"/>
        </w:rPr>
        <w:t>Tady bude podrobnější rozbor, jak dělit pracovníky podle rolí do několika typových rolí s přibližně podobnou nákladovou cenou (tabulka L. Karpeckého) a jak kombinací výpočtu FTE a FLC dospět k personálním nákladům pro jednotlivé účelové kategorie/skupiny.</w:t>
      </w:r>
    </w:p>
    <w:p w14:paraId="473A24F7" w14:textId="28898CFD" w:rsidR="000A5828" w:rsidRPr="00372FC2" w:rsidRDefault="000A5828" w:rsidP="00C80226">
      <w:pPr>
        <w:pStyle w:val="Zkladntext"/>
      </w:pPr>
      <w:r>
        <w:t>Dokončení této kapitoly může ovlivnit podobu budoucích verzí „Kalkulátorů“, které s typovými rolemi počítají již nyní.</w:t>
      </w:r>
    </w:p>
    <w:p w14:paraId="10679466" w14:textId="6826F425" w:rsidR="005212AB" w:rsidRPr="004E2B72" w:rsidRDefault="00231726" w:rsidP="00C80226">
      <w:pPr>
        <w:pStyle w:val="Nadpis3"/>
      </w:pPr>
      <w:bookmarkStart w:id="14" w:name="_Toc120784669"/>
      <w:r w:rsidRPr="004E2B72">
        <w:t>Rozpoč</w:t>
      </w:r>
      <w:r w:rsidR="001F01D3" w:rsidRPr="004E2B72">
        <w:t>ítání</w:t>
      </w:r>
      <w:r w:rsidRPr="004E2B72">
        <w:t xml:space="preserve"> nákladů zdrojů sdílených více ICT službami</w:t>
      </w:r>
      <w:bookmarkEnd w:id="14"/>
    </w:p>
    <w:p w14:paraId="70B4D4D5" w14:textId="638CA498" w:rsidR="005212AB" w:rsidRPr="004E2B72" w:rsidRDefault="005212AB" w:rsidP="00073E78">
      <w:pPr>
        <w:tabs>
          <w:tab w:val="clear" w:pos="9072"/>
          <w:tab w:val="right" w:pos="9498"/>
        </w:tabs>
        <w:jc w:val="both"/>
        <w:rPr>
          <w:rFonts w:cs="Arial"/>
          <w:szCs w:val="22"/>
        </w:rPr>
      </w:pPr>
      <w:r w:rsidRPr="004E2B72">
        <w:rPr>
          <w:rFonts w:cs="Arial"/>
          <w:szCs w:val="22"/>
        </w:rPr>
        <w:t>Je-li určitý zdroj (HW, OS, SŘBD</w:t>
      </w:r>
      <w:r w:rsidR="00D523ED" w:rsidRPr="004E2B72">
        <w:rPr>
          <w:rStyle w:val="Znakapoznpodarou"/>
          <w:rFonts w:cs="Arial"/>
          <w:szCs w:val="22"/>
        </w:rPr>
        <w:footnoteReference w:id="19"/>
      </w:r>
      <w:r w:rsidRPr="004E2B72">
        <w:rPr>
          <w:rFonts w:cs="Arial"/>
          <w:szCs w:val="22"/>
        </w:rPr>
        <w:t xml:space="preserve">, pracovník </w:t>
      </w:r>
      <w:r w:rsidR="000505F6">
        <w:rPr>
          <w:rFonts w:cs="Arial"/>
          <w:szCs w:val="22"/>
        </w:rPr>
        <w:t>S</w:t>
      </w:r>
      <w:r w:rsidRPr="004E2B72">
        <w:rPr>
          <w:rFonts w:cs="Arial"/>
          <w:szCs w:val="22"/>
        </w:rPr>
        <w:t xml:space="preserve">ervice </w:t>
      </w:r>
      <w:r w:rsidR="000505F6">
        <w:rPr>
          <w:rFonts w:cs="Arial"/>
          <w:szCs w:val="22"/>
        </w:rPr>
        <w:t>D</w:t>
      </w:r>
      <w:r w:rsidRPr="004E2B72">
        <w:rPr>
          <w:rFonts w:cs="Arial"/>
          <w:szCs w:val="22"/>
        </w:rPr>
        <w:t>esku apod.) využíván</w:t>
      </w:r>
      <w:r w:rsidR="000B3B77" w:rsidRPr="004E2B72">
        <w:rPr>
          <w:rFonts w:cs="Arial"/>
          <w:szCs w:val="22"/>
        </w:rPr>
        <w:t xml:space="preserve"> </w:t>
      </w:r>
      <w:r w:rsidR="00F25131" w:rsidRPr="004E2B72">
        <w:rPr>
          <w:rFonts w:cs="Arial"/>
          <w:szCs w:val="22"/>
        </w:rPr>
        <w:t>(</w:t>
      </w:r>
      <w:r w:rsidR="008524B5" w:rsidRPr="004E2B72">
        <w:rPr>
          <w:rFonts w:cs="Arial"/>
          <w:szCs w:val="22"/>
        </w:rPr>
        <w:t>sdílen</w:t>
      </w:r>
      <w:r w:rsidR="00F25131" w:rsidRPr="004E2B72">
        <w:rPr>
          <w:rFonts w:cs="Arial"/>
          <w:szCs w:val="22"/>
        </w:rPr>
        <w:t>)</w:t>
      </w:r>
      <w:r w:rsidRPr="004E2B72">
        <w:rPr>
          <w:rFonts w:cs="Arial"/>
          <w:szCs w:val="22"/>
        </w:rPr>
        <w:t xml:space="preserve"> více ICT službami, pak </w:t>
      </w:r>
      <w:r w:rsidR="007E099C">
        <w:rPr>
          <w:rFonts w:cs="Arial"/>
          <w:szCs w:val="22"/>
        </w:rPr>
        <w:t>j</w:t>
      </w:r>
      <w:r w:rsidRPr="004E2B72">
        <w:rPr>
          <w:rFonts w:cs="Arial"/>
          <w:szCs w:val="22"/>
        </w:rPr>
        <w:t xml:space="preserve">e </w:t>
      </w:r>
      <w:r w:rsidR="007E099C">
        <w:rPr>
          <w:rFonts w:cs="Arial"/>
          <w:szCs w:val="22"/>
        </w:rPr>
        <w:t xml:space="preserve">správné </w:t>
      </w:r>
      <w:r w:rsidRPr="004E2B72">
        <w:rPr>
          <w:rFonts w:cs="Arial"/>
          <w:szCs w:val="22"/>
        </w:rPr>
        <w:t>náklady tohoto zdroje rozpočít</w:t>
      </w:r>
      <w:r w:rsidR="007E099C">
        <w:rPr>
          <w:rFonts w:cs="Arial"/>
          <w:szCs w:val="22"/>
        </w:rPr>
        <w:t>áv</w:t>
      </w:r>
      <w:r w:rsidRPr="004E2B72">
        <w:rPr>
          <w:rFonts w:cs="Arial"/>
          <w:szCs w:val="22"/>
        </w:rPr>
        <w:t>a</w:t>
      </w:r>
      <w:r w:rsidR="007E099C">
        <w:rPr>
          <w:rFonts w:cs="Arial"/>
          <w:szCs w:val="22"/>
        </w:rPr>
        <w:t>t</w:t>
      </w:r>
      <w:r w:rsidRPr="004E2B72">
        <w:rPr>
          <w:rFonts w:cs="Arial"/>
          <w:szCs w:val="22"/>
        </w:rPr>
        <w:t xml:space="preserve"> na ty ICT služby, které ho využívají. Způsob rozpočtu (případně odhadu) si volí vykazující instituce sama. Jedinou podmínkou je, že náklady </w:t>
      </w:r>
      <w:r w:rsidR="000A77ED" w:rsidRPr="004E2B72">
        <w:rPr>
          <w:rFonts w:cs="Arial"/>
          <w:szCs w:val="22"/>
        </w:rPr>
        <w:t xml:space="preserve">daného </w:t>
      </w:r>
      <w:r w:rsidRPr="004E2B72">
        <w:rPr>
          <w:rFonts w:cs="Arial"/>
          <w:szCs w:val="22"/>
        </w:rPr>
        <w:t>zdroje musí být rozp</w:t>
      </w:r>
      <w:r w:rsidR="00231726" w:rsidRPr="004E2B72">
        <w:rPr>
          <w:rFonts w:cs="Arial"/>
          <w:szCs w:val="22"/>
        </w:rPr>
        <w:t>u</w:t>
      </w:r>
      <w:r w:rsidRPr="004E2B72">
        <w:rPr>
          <w:rFonts w:cs="Arial"/>
          <w:szCs w:val="22"/>
        </w:rPr>
        <w:t xml:space="preserve">štěny </w:t>
      </w:r>
      <w:r w:rsidR="000A77ED" w:rsidRPr="004E2B72">
        <w:rPr>
          <w:rFonts w:cs="Arial"/>
          <w:szCs w:val="22"/>
        </w:rPr>
        <w:t>m</w:t>
      </w:r>
      <w:r w:rsidR="00231726" w:rsidRPr="004E2B72">
        <w:rPr>
          <w:rFonts w:cs="Arial"/>
          <w:szCs w:val="22"/>
        </w:rPr>
        <w:t>ezi všechny ICT služby, kter</w:t>
      </w:r>
      <w:r w:rsidR="002F48C9" w:rsidRPr="004E2B72">
        <w:rPr>
          <w:rFonts w:cs="Arial"/>
          <w:szCs w:val="22"/>
        </w:rPr>
        <w:t>é</w:t>
      </w:r>
      <w:r w:rsidR="00231726" w:rsidRPr="004E2B72">
        <w:rPr>
          <w:rFonts w:cs="Arial"/>
          <w:szCs w:val="22"/>
        </w:rPr>
        <w:t xml:space="preserve"> zdroj využívají</w:t>
      </w:r>
      <w:r w:rsidRPr="004E2B72">
        <w:rPr>
          <w:rFonts w:cs="Arial"/>
          <w:szCs w:val="22"/>
        </w:rPr>
        <w:t>.</w:t>
      </w:r>
      <w:r w:rsidR="009B3AE2" w:rsidRPr="004E2B72">
        <w:rPr>
          <w:rFonts w:cs="Arial"/>
          <w:szCs w:val="22"/>
        </w:rPr>
        <w:t xml:space="preserve"> Nejčastějšími kritérii rozpočtu nákladů na jednotlivé ICT služby jsou: dle počtu uživatelů</w:t>
      </w:r>
      <w:r w:rsidR="004E2F39" w:rsidRPr="004E2B72">
        <w:rPr>
          <w:rFonts w:cs="Arial"/>
          <w:szCs w:val="22"/>
        </w:rPr>
        <w:t>, dle objemu dat, dle potřeby výpočetního výkonu</w:t>
      </w:r>
      <w:r w:rsidR="009B3AE2" w:rsidRPr="004E2B72">
        <w:rPr>
          <w:rFonts w:cs="Arial"/>
          <w:szCs w:val="22"/>
        </w:rPr>
        <w:t xml:space="preserve"> a dle počtu kontaktů na service desk</w:t>
      </w:r>
      <w:r w:rsidR="004E2F39" w:rsidRPr="004E2B72">
        <w:rPr>
          <w:rFonts w:cs="Arial"/>
          <w:szCs w:val="22"/>
        </w:rPr>
        <w:t>.</w:t>
      </w:r>
    </w:p>
    <w:p w14:paraId="74B61285" w14:textId="65487707" w:rsidR="004E2F39" w:rsidRPr="004E2B72" w:rsidRDefault="004E2F39" w:rsidP="00073E78">
      <w:pPr>
        <w:tabs>
          <w:tab w:val="clear" w:pos="9072"/>
          <w:tab w:val="right" w:pos="9498"/>
        </w:tabs>
        <w:jc w:val="both"/>
        <w:rPr>
          <w:rFonts w:cs="Arial"/>
          <w:szCs w:val="22"/>
        </w:rPr>
      </w:pPr>
      <w:r w:rsidRPr="004E2B72">
        <w:rPr>
          <w:rFonts w:cs="Arial"/>
          <w:szCs w:val="22"/>
        </w:rPr>
        <w:t>Způsoby identifikace a alokace nákladů na službu se podrobně zabývá existující Metodika procesního modelování agend (PMA)</w:t>
      </w:r>
      <w:r w:rsidRPr="004E2B72">
        <w:rPr>
          <w:rStyle w:val="Znakapoznpodarou"/>
          <w:rFonts w:cs="Arial"/>
          <w:szCs w:val="22"/>
        </w:rPr>
        <w:footnoteReference w:id="20"/>
      </w:r>
      <w:r w:rsidR="0071147F" w:rsidRPr="004E2B72">
        <w:rPr>
          <w:rFonts w:cs="Arial"/>
          <w:szCs w:val="22"/>
        </w:rPr>
        <w:t>. Popisuje metody alokace přímo přiřaditelných nákladů tzv. zdola, tj. od jednotlivých činností, přes procesy, celé agendy a jejich služby až po náklady celého úřadu, a naopak rozpočítání (alokaci) nákladů podle určitých klíčů</w:t>
      </w:r>
      <w:r w:rsidR="003B181A" w:rsidRPr="004E2B72">
        <w:rPr>
          <w:rFonts w:cs="Arial"/>
          <w:szCs w:val="22"/>
        </w:rPr>
        <w:t xml:space="preserve"> tzv. shora</w:t>
      </w:r>
      <w:r w:rsidR="0071147F" w:rsidRPr="004E2B72">
        <w:rPr>
          <w:rFonts w:cs="Arial"/>
          <w:szCs w:val="22"/>
        </w:rPr>
        <w:t>, tj. od celkových nákladů úřadu (OVM), přes agendy a jejich služby na procesy poskytující tyto služby. Metodika PMA je primárně zaměřena na externí agendové služby, ale její doporučení lze analogicky použít i na zjišťování a alokaci nákladů na interní služby úřadu například na ICT služby.</w:t>
      </w:r>
    </w:p>
    <w:p w14:paraId="280B3025" w14:textId="08DE3BE1" w:rsidR="003B181A" w:rsidRPr="004E2B72" w:rsidRDefault="003B181A" w:rsidP="00073E78">
      <w:pPr>
        <w:tabs>
          <w:tab w:val="clear" w:pos="9072"/>
          <w:tab w:val="right" w:pos="9498"/>
        </w:tabs>
        <w:jc w:val="both"/>
        <w:rPr>
          <w:rFonts w:cs="Arial"/>
          <w:szCs w:val="22"/>
        </w:rPr>
      </w:pPr>
      <w:r w:rsidRPr="004E2B72">
        <w:rPr>
          <w:rFonts w:cs="Arial"/>
          <w:szCs w:val="22"/>
        </w:rPr>
        <w:t xml:space="preserve">Pro identifikaci a alokaci nepřímých (sdílených, režijních) nákladů doporučuje Metodika PMA zabývat se zejména těmito </w:t>
      </w:r>
      <w:r w:rsidR="009B0C4E" w:rsidRPr="004E2B72">
        <w:rPr>
          <w:rFonts w:cs="Arial"/>
          <w:szCs w:val="22"/>
        </w:rPr>
        <w:t>kombinovanými (</w:t>
      </w:r>
      <w:r w:rsidRPr="004E2B72">
        <w:rPr>
          <w:rFonts w:cs="Arial"/>
          <w:szCs w:val="22"/>
        </w:rPr>
        <w:t>druhově</w:t>
      </w:r>
      <w:r w:rsidR="009B0C4E" w:rsidRPr="004E2B72">
        <w:rPr>
          <w:rFonts w:cs="Arial"/>
          <w:szCs w:val="22"/>
        </w:rPr>
        <w:t>-účelovými)</w:t>
      </w:r>
      <w:r w:rsidRPr="004E2B72">
        <w:rPr>
          <w:rFonts w:cs="Arial"/>
          <w:szCs w:val="22"/>
        </w:rPr>
        <w:t xml:space="preserve"> nákladovými kategoriemi:</w:t>
      </w:r>
    </w:p>
    <w:tbl>
      <w:tblPr>
        <w:tblStyle w:val="Style1"/>
        <w:tblW w:w="0" w:type="auto"/>
        <w:tblInd w:w="108" w:type="dxa"/>
        <w:tblLook w:val="04A0" w:firstRow="1" w:lastRow="0" w:firstColumn="1" w:lastColumn="0" w:noHBand="0" w:noVBand="1"/>
      </w:tblPr>
      <w:tblGrid>
        <w:gridCol w:w="1962"/>
        <w:gridCol w:w="2108"/>
        <w:gridCol w:w="4883"/>
      </w:tblGrid>
      <w:tr w:rsidR="009B0C4E" w:rsidRPr="004E2B72" w14:paraId="671024B4" w14:textId="77777777" w:rsidTr="00221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dxa"/>
          </w:tcPr>
          <w:p w14:paraId="142F871B" w14:textId="77777777" w:rsidR="009B0C4E" w:rsidRPr="004E2B72" w:rsidRDefault="009B0C4E" w:rsidP="00073E78">
            <w:pPr>
              <w:pStyle w:val="Default"/>
              <w:jc w:val="both"/>
              <w:rPr>
                <w:rFonts w:ascii="Arial" w:hAnsi="Arial" w:cs="Arial"/>
                <w:sz w:val="22"/>
              </w:rPr>
            </w:pPr>
            <w:r w:rsidRPr="004E2B72">
              <w:rPr>
                <w:rFonts w:ascii="Arial" w:hAnsi="Arial" w:cs="Arial"/>
                <w:sz w:val="22"/>
              </w:rPr>
              <w:t>Kategorie nákladů</w:t>
            </w:r>
          </w:p>
        </w:tc>
        <w:tc>
          <w:tcPr>
            <w:tcW w:w="2199" w:type="dxa"/>
          </w:tcPr>
          <w:p w14:paraId="1729B12F" w14:textId="77777777" w:rsidR="009B0C4E" w:rsidRPr="004E2B72" w:rsidRDefault="009B0C4E" w:rsidP="00073E78">
            <w:pPr>
              <w:pStyle w:val="Default"/>
              <w:jc w:val="both"/>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4E2B72">
              <w:rPr>
                <w:rFonts w:ascii="Arial" w:hAnsi="Arial" w:cs="Arial"/>
                <w:sz w:val="22"/>
              </w:rPr>
              <w:t>Podkategorie nákladů</w:t>
            </w:r>
          </w:p>
        </w:tc>
        <w:tc>
          <w:tcPr>
            <w:tcW w:w="5256" w:type="dxa"/>
          </w:tcPr>
          <w:p w14:paraId="357F1332" w14:textId="77777777" w:rsidR="009B0C4E" w:rsidRPr="004E2B72" w:rsidRDefault="009B0C4E" w:rsidP="00073E78">
            <w:pPr>
              <w:pStyle w:val="Default"/>
              <w:jc w:val="both"/>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4E2B72">
              <w:rPr>
                <w:rFonts w:ascii="Arial" w:hAnsi="Arial" w:cs="Arial"/>
                <w:sz w:val="22"/>
              </w:rPr>
              <w:t>Popis kategorie/podkategorie</w:t>
            </w:r>
          </w:p>
        </w:tc>
      </w:tr>
      <w:tr w:rsidR="009B0C4E" w:rsidRPr="004E2B72" w14:paraId="61B01CB3" w14:textId="77777777" w:rsidTr="00221F5D">
        <w:tc>
          <w:tcPr>
            <w:cnfStyle w:val="001000000000" w:firstRow="0" w:lastRow="0" w:firstColumn="1" w:lastColumn="0" w:oddVBand="0" w:evenVBand="0" w:oddHBand="0" w:evenHBand="0" w:firstRowFirstColumn="0" w:firstRowLastColumn="0" w:lastRowFirstColumn="0" w:lastRowLastColumn="0"/>
            <w:tcW w:w="2043" w:type="dxa"/>
          </w:tcPr>
          <w:p w14:paraId="715CE86D" w14:textId="77777777" w:rsidR="009B0C4E" w:rsidRPr="004E2B72" w:rsidRDefault="009B0C4E" w:rsidP="00073E78">
            <w:pPr>
              <w:pStyle w:val="Default"/>
              <w:jc w:val="both"/>
              <w:rPr>
                <w:rFonts w:ascii="Arial" w:hAnsi="Arial" w:cs="Arial"/>
                <w:sz w:val="20"/>
              </w:rPr>
            </w:pPr>
            <w:r w:rsidRPr="004E2B72">
              <w:rPr>
                <w:rFonts w:ascii="Arial" w:hAnsi="Arial" w:cs="Arial"/>
                <w:sz w:val="20"/>
              </w:rPr>
              <w:t>Mzdy</w:t>
            </w:r>
          </w:p>
        </w:tc>
        <w:tc>
          <w:tcPr>
            <w:tcW w:w="2199" w:type="dxa"/>
          </w:tcPr>
          <w:p w14:paraId="7EE84798" w14:textId="77777777"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Celkové osobní náklady</w:t>
            </w:r>
          </w:p>
        </w:tc>
        <w:tc>
          <w:tcPr>
            <w:tcW w:w="5256" w:type="dxa"/>
          </w:tcPr>
          <w:p w14:paraId="300F9ABD" w14:textId="77777777"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Náklady na platy, ostatní platby za odvedenou práci a pojistné (za rok).</w:t>
            </w:r>
          </w:p>
        </w:tc>
      </w:tr>
      <w:tr w:rsidR="009B0C4E" w:rsidRPr="004E2B72" w14:paraId="1537EBC1" w14:textId="77777777" w:rsidTr="00221F5D">
        <w:tc>
          <w:tcPr>
            <w:cnfStyle w:val="001000000000" w:firstRow="0" w:lastRow="0" w:firstColumn="1" w:lastColumn="0" w:oddVBand="0" w:evenVBand="0" w:oddHBand="0" w:evenHBand="0" w:firstRowFirstColumn="0" w:firstRowLastColumn="0" w:lastRowFirstColumn="0" w:lastRowLastColumn="0"/>
            <w:tcW w:w="2043" w:type="dxa"/>
          </w:tcPr>
          <w:p w14:paraId="3C49E947" w14:textId="77777777" w:rsidR="009B0C4E" w:rsidRPr="004E2B72" w:rsidRDefault="009B0C4E" w:rsidP="00073E78">
            <w:pPr>
              <w:pStyle w:val="Default"/>
              <w:jc w:val="both"/>
              <w:rPr>
                <w:rFonts w:ascii="Arial" w:hAnsi="Arial" w:cs="Arial"/>
                <w:sz w:val="20"/>
              </w:rPr>
            </w:pPr>
            <w:r w:rsidRPr="004E2B72">
              <w:rPr>
                <w:rFonts w:ascii="Arial" w:hAnsi="Arial" w:cs="Arial"/>
                <w:sz w:val="20"/>
              </w:rPr>
              <w:t>Finanční náklady</w:t>
            </w:r>
          </w:p>
        </w:tc>
        <w:tc>
          <w:tcPr>
            <w:tcW w:w="2199" w:type="dxa"/>
          </w:tcPr>
          <w:p w14:paraId="2ACA4F3C" w14:textId="77777777"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Finanční náklady</w:t>
            </w:r>
          </w:p>
        </w:tc>
        <w:tc>
          <w:tcPr>
            <w:tcW w:w="5256" w:type="dxa"/>
          </w:tcPr>
          <w:p w14:paraId="2E4E8458" w14:textId="77777777"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Úroky a ostatní finanční náklady.</w:t>
            </w:r>
          </w:p>
        </w:tc>
      </w:tr>
      <w:tr w:rsidR="009B0C4E" w:rsidRPr="004E2B72" w14:paraId="1E7F0323" w14:textId="77777777" w:rsidTr="00221F5D">
        <w:tc>
          <w:tcPr>
            <w:cnfStyle w:val="001000000000" w:firstRow="0" w:lastRow="0" w:firstColumn="1" w:lastColumn="0" w:oddVBand="0" w:evenVBand="0" w:oddHBand="0" w:evenHBand="0" w:firstRowFirstColumn="0" w:firstRowLastColumn="0" w:lastRowFirstColumn="0" w:lastRowLastColumn="0"/>
            <w:tcW w:w="2043" w:type="dxa"/>
            <w:vMerge w:val="restart"/>
          </w:tcPr>
          <w:p w14:paraId="35DECB49" w14:textId="567DBC87" w:rsidR="009B0C4E" w:rsidRPr="004E2B72" w:rsidRDefault="009B0C4E" w:rsidP="00073E78">
            <w:pPr>
              <w:pStyle w:val="Default"/>
              <w:jc w:val="both"/>
              <w:rPr>
                <w:rFonts w:ascii="Arial" w:hAnsi="Arial" w:cs="Arial"/>
                <w:sz w:val="20"/>
              </w:rPr>
            </w:pPr>
            <w:r w:rsidRPr="004E2B72">
              <w:rPr>
                <w:rFonts w:ascii="Arial" w:hAnsi="Arial" w:cs="Arial"/>
                <w:sz w:val="20"/>
              </w:rPr>
              <w:t>ICT infrastruktura SW</w:t>
            </w:r>
          </w:p>
        </w:tc>
        <w:tc>
          <w:tcPr>
            <w:tcW w:w="2199" w:type="dxa"/>
          </w:tcPr>
          <w:p w14:paraId="38E61051" w14:textId="2950E0A1"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ICT infrastruktura + konektivita</w:t>
            </w:r>
          </w:p>
        </w:tc>
        <w:tc>
          <w:tcPr>
            <w:tcW w:w="5256" w:type="dxa"/>
          </w:tcPr>
          <w:p w14:paraId="6D0CC8C4" w14:textId="1EC65C34"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Náklady na zařízení (počítače, servery, síťová infrastruktura, pevné telefony, …) + Údržba, nákup telefonních a datových služeb - pevné linky.</w:t>
            </w:r>
          </w:p>
        </w:tc>
      </w:tr>
      <w:tr w:rsidR="009B0C4E" w:rsidRPr="004E2B72" w14:paraId="4FAD4793" w14:textId="77777777" w:rsidTr="00221F5D">
        <w:tc>
          <w:tcPr>
            <w:cnfStyle w:val="001000000000" w:firstRow="0" w:lastRow="0" w:firstColumn="1" w:lastColumn="0" w:oddVBand="0" w:evenVBand="0" w:oddHBand="0" w:evenHBand="0" w:firstRowFirstColumn="0" w:firstRowLastColumn="0" w:lastRowFirstColumn="0" w:lastRowLastColumn="0"/>
            <w:tcW w:w="2043" w:type="dxa"/>
            <w:vMerge/>
          </w:tcPr>
          <w:p w14:paraId="5067CD6E" w14:textId="77777777" w:rsidR="009B0C4E" w:rsidRPr="004E2B72" w:rsidRDefault="009B0C4E" w:rsidP="00073E78">
            <w:pPr>
              <w:pStyle w:val="Default"/>
              <w:jc w:val="both"/>
              <w:rPr>
                <w:rFonts w:ascii="Arial" w:hAnsi="Arial" w:cs="Arial"/>
                <w:sz w:val="20"/>
              </w:rPr>
            </w:pPr>
          </w:p>
        </w:tc>
        <w:tc>
          <w:tcPr>
            <w:tcW w:w="2199" w:type="dxa"/>
          </w:tcPr>
          <w:p w14:paraId="089D6561" w14:textId="1D400E6D"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Mobilní telefony + mobilní konektivita</w:t>
            </w:r>
          </w:p>
        </w:tc>
        <w:tc>
          <w:tcPr>
            <w:tcW w:w="5256" w:type="dxa"/>
          </w:tcPr>
          <w:p w14:paraId="1946E433" w14:textId="3D762A3D"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Náklady na zařízení (telefony, ústředny atp.) + Údržba, nákup telefonních a datových služeb - mobilní telefony, mobilní internet.</w:t>
            </w:r>
          </w:p>
        </w:tc>
      </w:tr>
      <w:tr w:rsidR="009B0C4E" w:rsidRPr="004E2B72" w14:paraId="07674C1A" w14:textId="77777777" w:rsidTr="00221F5D">
        <w:tc>
          <w:tcPr>
            <w:cnfStyle w:val="001000000000" w:firstRow="0" w:lastRow="0" w:firstColumn="1" w:lastColumn="0" w:oddVBand="0" w:evenVBand="0" w:oddHBand="0" w:evenHBand="0" w:firstRowFirstColumn="0" w:firstRowLastColumn="0" w:lastRowFirstColumn="0" w:lastRowLastColumn="0"/>
            <w:tcW w:w="2043" w:type="dxa"/>
            <w:vMerge/>
          </w:tcPr>
          <w:p w14:paraId="7484726F" w14:textId="77777777" w:rsidR="009B0C4E" w:rsidRPr="004E2B72" w:rsidRDefault="009B0C4E" w:rsidP="00073E78">
            <w:pPr>
              <w:pStyle w:val="Default"/>
              <w:jc w:val="both"/>
              <w:rPr>
                <w:rFonts w:ascii="Arial" w:hAnsi="Arial" w:cs="Arial"/>
                <w:sz w:val="20"/>
              </w:rPr>
            </w:pPr>
          </w:p>
        </w:tc>
        <w:tc>
          <w:tcPr>
            <w:tcW w:w="2199" w:type="dxa"/>
          </w:tcPr>
          <w:p w14:paraId="2A18EB3F" w14:textId="259338BB"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Správa SW a nákup licencí</w:t>
            </w:r>
          </w:p>
        </w:tc>
        <w:tc>
          <w:tcPr>
            <w:tcW w:w="5256" w:type="dxa"/>
          </w:tcPr>
          <w:p w14:paraId="19059D11" w14:textId="18A95F5C"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Vývoj softwaru, nákup licencí (</w:t>
            </w:r>
            <w:r w:rsidR="0067574A" w:rsidRPr="004E2B72">
              <w:rPr>
                <w:rFonts w:ascii="Arial" w:hAnsi="Arial" w:cs="Arial"/>
                <w:sz w:val="20"/>
              </w:rPr>
              <w:t>SW pro řízení ICT a projektů atp.</w:t>
            </w:r>
            <w:r w:rsidRPr="004E2B72">
              <w:rPr>
                <w:rFonts w:ascii="Arial" w:hAnsi="Arial" w:cs="Arial"/>
                <w:sz w:val="20"/>
              </w:rPr>
              <w:t>) + Správa a údržba, drobné upgrade (</w:t>
            </w:r>
            <w:r w:rsidR="0067574A" w:rsidRPr="004E2B72">
              <w:rPr>
                <w:rFonts w:ascii="Arial" w:hAnsi="Arial" w:cs="Arial"/>
                <w:sz w:val="20"/>
              </w:rPr>
              <w:t>SW pro řízení ICT a projektů</w:t>
            </w:r>
            <w:r w:rsidRPr="004E2B72">
              <w:rPr>
                <w:rFonts w:ascii="Arial" w:hAnsi="Arial" w:cs="Arial"/>
                <w:sz w:val="20"/>
              </w:rPr>
              <w:t xml:space="preserve"> atp.).</w:t>
            </w:r>
          </w:p>
        </w:tc>
      </w:tr>
      <w:tr w:rsidR="009B0C4E" w:rsidRPr="004E2B72" w14:paraId="72C71AB2" w14:textId="77777777" w:rsidTr="00221F5D">
        <w:tc>
          <w:tcPr>
            <w:cnfStyle w:val="001000000000" w:firstRow="0" w:lastRow="0" w:firstColumn="1" w:lastColumn="0" w:oddVBand="0" w:evenVBand="0" w:oddHBand="0" w:evenHBand="0" w:firstRowFirstColumn="0" w:firstRowLastColumn="0" w:lastRowFirstColumn="0" w:lastRowLastColumn="0"/>
            <w:tcW w:w="2043" w:type="dxa"/>
            <w:vMerge/>
          </w:tcPr>
          <w:p w14:paraId="089F6240" w14:textId="77777777" w:rsidR="009B0C4E" w:rsidRPr="004E2B72" w:rsidRDefault="009B0C4E" w:rsidP="00073E78">
            <w:pPr>
              <w:pStyle w:val="Default"/>
              <w:jc w:val="both"/>
              <w:rPr>
                <w:rFonts w:ascii="Arial" w:hAnsi="Arial" w:cs="Arial"/>
                <w:sz w:val="20"/>
              </w:rPr>
            </w:pPr>
          </w:p>
        </w:tc>
        <w:tc>
          <w:tcPr>
            <w:tcW w:w="2199" w:type="dxa"/>
          </w:tcPr>
          <w:p w14:paraId="4E5FB4E4" w14:textId="5D26ADAB"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Správa ostatních SW a nákup licencí</w:t>
            </w:r>
          </w:p>
        </w:tc>
        <w:tc>
          <w:tcPr>
            <w:tcW w:w="5256" w:type="dxa"/>
          </w:tcPr>
          <w:p w14:paraId="48AB6824" w14:textId="5C41B1BC"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Vývoj softwaru, nákup licencí (</w:t>
            </w:r>
            <w:r w:rsidR="0067574A" w:rsidRPr="004E2B72">
              <w:rPr>
                <w:rFonts w:ascii="Arial" w:hAnsi="Arial" w:cs="Arial"/>
                <w:sz w:val="20"/>
              </w:rPr>
              <w:t xml:space="preserve">podpůrný SW, </w:t>
            </w:r>
            <w:r w:rsidRPr="004E2B72">
              <w:rPr>
                <w:rFonts w:ascii="Arial" w:hAnsi="Arial" w:cs="Arial"/>
                <w:sz w:val="20"/>
              </w:rPr>
              <w:t>kancelářské balíky atp.) + Správa a údržba, drobné upgrade (kancelářské balíky atp.).</w:t>
            </w:r>
          </w:p>
        </w:tc>
      </w:tr>
      <w:tr w:rsidR="009B0C4E" w:rsidRPr="004E2B72" w14:paraId="1F0898EC" w14:textId="77777777" w:rsidTr="00221F5D">
        <w:tc>
          <w:tcPr>
            <w:cnfStyle w:val="001000000000" w:firstRow="0" w:lastRow="0" w:firstColumn="1" w:lastColumn="0" w:oddVBand="0" w:evenVBand="0" w:oddHBand="0" w:evenHBand="0" w:firstRowFirstColumn="0" w:firstRowLastColumn="0" w:lastRowFirstColumn="0" w:lastRowLastColumn="0"/>
            <w:tcW w:w="2043" w:type="dxa"/>
          </w:tcPr>
          <w:p w14:paraId="7DB5E14D" w14:textId="27DF6AC8" w:rsidR="009B0C4E" w:rsidRPr="004E2B72" w:rsidRDefault="009B0C4E" w:rsidP="00073E78">
            <w:pPr>
              <w:pStyle w:val="Default"/>
              <w:jc w:val="both"/>
              <w:rPr>
                <w:rFonts w:ascii="Arial" w:hAnsi="Arial" w:cs="Arial"/>
                <w:sz w:val="20"/>
              </w:rPr>
            </w:pPr>
            <w:r w:rsidRPr="004E2B72">
              <w:rPr>
                <w:rFonts w:ascii="Arial" w:hAnsi="Arial" w:cs="Arial"/>
                <w:sz w:val="20"/>
              </w:rPr>
              <w:t>Prostory a vybavení pracoviště</w:t>
            </w:r>
          </w:p>
        </w:tc>
        <w:tc>
          <w:tcPr>
            <w:tcW w:w="2199" w:type="dxa"/>
          </w:tcPr>
          <w:p w14:paraId="6E989B5E" w14:textId="34BC0A9D"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Budova n</w:t>
            </w:r>
            <w:r w:rsidR="0067574A" w:rsidRPr="004E2B72">
              <w:rPr>
                <w:rFonts w:ascii="Arial" w:hAnsi="Arial" w:cs="Arial"/>
                <w:sz w:val="20"/>
              </w:rPr>
              <w:t xml:space="preserve"> </w:t>
            </w:r>
            <w:r w:rsidRPr="004E2B72">
              <w:rPr>
                <w:rFonts w:ascii="Arial" w:hAnsi="Arial" w:cs="Arial"/>
                <w:sz w:val="20"/>
              </w:rPr>
              <w:t xml:space="preserve">- </w:t>
            </w:r>
          </w:p>
        </w:tc>
        <w:tc>
          <w:tcPr>
            <w:tcW w:w="5256" w:type="dxa"/>
          </w:tcPr>
          <w:p w14:paraId="6F8D692B" w14:textId="7A306C39"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Nákup/výstavba/rekonstrukce nemovitosti</w:t>
            </w:r>
            <w:r w:rsidR="00221F5D" w:rsidRPr="004E2B72">
              <w:rPr>
                <w:rFonts w:ascii="Arial" w:hAnsi="Arial" w:cs="Arial"/>
                <w:sz w:val="20"/>
              </w:rPr>
              <w:t xml:space="preserve"> </w:t>
            </w:r>
            <w:r w:rsidRPr="004E2B72">
              <w:rPr>
                <w:rFonts w:ascii="Arial" w:hAnsi="Arial" w:cs="Arial"/>
                <w:sz w:val="20"/>
              </w:rPr>
              <w:t>- Nákup vybavení (nábytek atp.)- Daně, poplatky, pojištění- Nájem- Nákup vody, tepla, energie atp.- Služby (ostraha, úklid, …)- Drobný materiál a vybavení (nábytek atp.)</w:t>
            </w:r>
          </w:p>
        </w:tc>
      </w:tr>
      <w:tr w:rsidR="009B0C4E" w:rsidRPr="004E2B72" w14:paraId="1806B330" w14:textId="77777777" w:rsidTr="00221F5D">
        <w:tc>
          <w:tcPr>
            <w:cnfStyle w:val="001000000000" w:firstRow="0" w:lastRow="0" w:firstColumn="1" w:lastColumn="0" w:oddVBand="0" w:evenVBand="0" w:oddHBand="0" w:evenHBand="0" w:firstRowFirstColumn="0" w:firstRowLastColumn="0" w:lastRowFirstColumn="0" w:lastRowLastColumn="0"/>
            <w:tcW w:w="2043" w:type="dxa"/>
            <w:vMerge w:val="restart"/>
          </w:tcPr>
          <w:p w14:paraId="6425388A" w14:textId="393AE96B" w:rsidR="009B0C4E" w:rsidRPr="004E2B72" w:rsidRDefault="009B0C4E" w:rsidP="00073E78">
            <w:pPr>
              <w:pStyle w:val="Default"/>
              <w:jc w:val="both"/>
              <w:rPr>
                <w:rFonts w:ascii="Arial" w:hAnsi="Arial" w:cs="Arial"/>
                <w:sz w:val="20"/>
              </w:rPr>
            </w:pPr>
            <w:r w:rsidRPr="004E2B72">
              <w:rPr>
                <w:rFonts w:ascii="Arial" w:hAnsi="Arial" w:cs="Arial"/>
                <w:sz w:val="20"/>
              </w:rPr>
              <w:t>Doprava</w:t>
            </w:r>
          </w:p>
        </w:tc>
        <w:tc>
          <w:tcPr>
            <w:tcW w:w="2199" w:type="dxa"/>
          </w:tcPr>
          <w:p w14:paraId="5476BF91" w14:textId="2CEFF9BC"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Automobily</w:t>
            </w:r>
            <w:r w:rsidR="0067574A" w:rsidRPr="004E2B72">
              <w:rPr>
                <w:rFonts w:ascii="Arial" w:hAnsi="Arial" w:cs="Arial"/>
                <w:sz w:val="20"/>
              </w:rPr>
              <w:t xml:space="preserve"> </w:t>
            </w:r>
            <w:r w:rsidRPr="004E2B72">
              <w:rPr>
                <w:rFonts w:ascii="Arial" w:hAnsi="Arial" w:cs="Arial"/>
                <w:sz w:val="20"/>
              </w:rPr>
              <w:t xml:space="preserve">- </w:t>
            </w:r>
          </w:p>
        </w:tc>
        <w:tc>
          <w:tcPr>
            <w:tcW w:w="5256" w:type="dxa"/>
          </w:tcPr>
          <w:p w14:paraId="6AA005AD" w14:textId="7546AC73"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Nákup dopravních prostředků- Daně, poplatky, pojištění- Nájem/leasing- Servis, údržba, pneu- PHM</w:t>
            </w:r>
          </w:p>
        </w:tc>
      </w:tr>
      <w:tr w:rsidR="009B0C4E" w:rsidRPr="004E2B72" w14:paraId="2F2892FE" w14:textId="77777777" w:rsidTr="00221F5D">
        <w:tc>
          <w:tcPr>
            <w:cnfStyle w:val="001000000000" w:firstRow="0" w:lastRow="0" w:firstColumn="1" w:lastColumn="0" w:oddVBand="0" w:evenVBand="0" w:oddHBand="0" w:evenHBand="0" w:firstRowFirstColumn="0" w:firstRowLastColumn="0" w:lastRowFirstColumn="0" w:lastRowLastColumn="0"/>
            <w:tcW w:w="2043" w:type="dxa"/>
            <w:vMerge/>
          </w:tcPr>
          <w:p w14:paraId="1A22BA53" w14:textId="77777777" w:rsidR="009B0C4E" w:rsidRPr="004E2B72" w:rsidRDefault="009B0C4E" w:rsidP="00073E78">
            <w:pPr>
              <w:pStyle w:val="Default"/>
              <w:jc w:val="both"/>
              <w:rPr>
                <w:rFonts w:ascii="Arial" w:hAnsi="Arial" w:cs="Arial"/>
                <w:sz w:val="20"/>
              </w:rPr>
            </w:pPr>
          </w:p>
        </w:tc>
        <w:tc>
          <w:tcPr>
            <w:tcW w:w="2199" w:type="dxa"/>
          </w:tcPr>
          <w:p w14:paraId="1D3CB118" w14:textId="6F22858E"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Ostatní doprava (MHD, vlak, autobus, taxi, letenky)</w:t>
            </w:r>
          </w:p>
        </w:tc>
        <w:tc>
          <w:tcPr>
            <w:tcW w:w="5256" w:type="dxa"/>
          </w:tcPr>
          <w:p w14:paraId="3C62A389" w14:textId="1A6A9771"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Náklady na dopravní služby, cestovné.</w:t>
            </w:r>
          </w:p>
        </w:tc>
      </w:tr>
      <w:tr w:rsidR="009B0C4E" w:rsidRPr="004E2B72" w14:paraId="5C5FA774" w14:textId="77777777" w:rsidTr="00221F5D">
        <w:tc>
          <w:tcPr>
            <w:cnfStyle w:val="001000000000" w:firstRow="0" w:lastRow="0" w:firstColumn="1" w:lastColumn="0" w:oddVBand="0" w:evenVBand="0" w:oddHBand="0" w:evenHBand="0" w:firstRowFirstColumn="0" w:firstRowLastColumn="0" w:lastRowFirstColumn="0" w:lastRowLastColumn="0"/>
            <w:tcW w:w="2043" w:type="dxa"/>
          </w:tcPr>
          <w:p w14:paraId="2CFEC2F0" w14:textId="3B01FE18" w:rsidR="009B0C4E" w:rsidRPr="004E2B72" w:rsidRDefault="009B0C4E" w:rsidP="00073E78">
            <w:pPr>
              <w:pStyle w:val="Default"/>
              <w:jc w:val="both"/>
              <w:rPr>
                <w:rFonts w:ascii="Arial" w:hAnsi="Arial" w:cs="Arial"/>
                <w:sz w:val="20"/>
              </w:rPr>
            </w:pPr>
            <w:r w:rsidRPr="004E2B72">
              <w:rPr>
                <w:rFonts w:ascii="Arial" w:hAnsi="Arial" w:cs="Arial"/>
                <w:sz w:val="20"/>
              </w:rPr>
              <w:t xml:space="preserve">Ostatní materiál, služby, daně a poplatky </w:t>
            </w:r>
          </w:p>
        </w:tc>
        <w:tc>
          <w:tcPr>
            <w:tcW w:w="2199" w:type="dxa"/>
          </w:tcPr>
          <w:p w14:paraId="601BF3B7" w14:textId="4AA2B5BC" w:rsidR="009B0C4E" w:rsidRPr="004E2B72" w:rsidRDefault="00221F5D"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Ostatní nákupy nepřímo přiř</w:t>
            </w:r>
            <w:r w:rsidR="009B0C4E" w:rsidRPr="004E2B72">
              <w:rPr>
                <w:rFonts w:ascii="Arial" w:hAnsi="Arial" w:cs="Arial"/>
                <w:sz w:val="20"/>
              </w:rPr>
              <w:t>aditelné agendám</w:t>
            </w:r>
          </w:p>
        </w:tc>
        <w:tc>
          <w:tcPr>
            <w:tcW w:w="5256" w:type="dxa"/>
          </w:tcPr>
          <w:p w14:paraId="2B61A765" w14:textId="50B9710E" w:rsidR="009B0C4E" w:rsidRPr="004E2B72" w:rsidRDefault="009B0C4E" w:rsidP="00073E78">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2B72">
              <w:rPr>
                <w:rFonts w:ascii="Arial" w:hAnsi="Arial" w:cs="Arial"/>
                <w:sz w:val="20"/>
              </w:rPr>
              <w:t>Všechny ostatní výše uvedené náklady, které nelze přímo přiřadit agendě nebo souboru agend.</w:t>
            </w:r>
          </w:p>
        </w:tc>
      </w:tr>
    </w:tbl>
    <w:p w14:paraId="6210F45B" w14:textId="77777777" w:rsidR="00221F5D" w:rsidRPr="004E2B72" w:rsidRDefault="00221F5D" w:rsidP="00073E78">
      <w:pPr>
        <w:tabs>
          <w:tab w:val="clear" w:pos="9072"/>
          <w:tab w:val="right" w:pos="9498"/>
        </w:tabs>
        <w:jc w:val="both"/>
        <w:rPr>
          <w:rFonts w:cs="Arial"/>
          <w:szCs w:val="22"/>
        </w:rPr>
      </w:pPr>
    </w:p>
    <w:p w14:paraId="74C70FBC" w14:textId="47F7B816" w:rsidR="003B181A" w:rsidRPr="004E2B72" w:rsidRDefault="00221F5D" w:rsidP="00073E78">
      <w:pPr>
        <w:tabs>
          <w:tab w:val="clear" w:pos="9072"/>
          <w:tab w:val="right" w:pos="9498"/>
        </w:tabs>
        <w:jc w:val="both"/>
        <w:rPr>
          <w:rFonts w:cs="Arial"/>
          <w:szCs w:val="22"/>
        </w:rPr>
      </w:pPr>
      <w:r w:rsidRPr="004E2B72">
        <w:rPr>
          <w:rFonts w:cs="Arial"/>
          <w:szCs w:val="22"/>
        </w:rPr>
        <w:t xml:space="preserve">Tabulka obsahuje jenom zdánlivý rozpor, neboť i pro implementaci a podporu interní ICT služby (stejně jako </w:t>
      </w:r>
      <w:r w:rsidR="0067574A" w:rsidRPr="004E2B72">
        <w:rPr>
          <w:rFonts w:cs="Arial"/>
          <w:szCs w:val="22"/>
        </w:rPr>
        <w:t xml:space="preserve">pro </w:t>
      </w:r>
      <w:r w:rsidRPr="004E2B72">
        <w:rPr>
          <w:rFonts w:cs="Arial"/>
          <w:szCs w:val="22"/>
        </w:rPr>
        <w:t>agendové externí služby) jsou kromě jiného potřebné režijní ICT zdroje (Office, Internet, správa znalostí, proje</w:t>
      </w:r>
      <w:r w:rsidR="00B91C2E" w:rsidRPr="004E2B72">
        <w:rPr>
          <w:rFonts w:cs="Arial"/>
          <w:szCs w:val="22"/>
        </w:rPr>
        <w:t>k</w:t>
      </w:r>
      <w:r w:rsidRPr="004E2B72">
        <w:rPr>
          <w:rFonts w:cs="Arial"/>
          <w:szCs w:val="22"/>
        </w:rPr>
        <w:t>t management SW, mobil</w:t>
      </w:r>
      <w:r w:rsidR="0067574A" w:rsidRPr="004E2B72">
        <w:rPr>
          <w:rFonts w:cs="Arial"/>
          <w:szCs w:val="22"/>
        </w:rPr>
        <w:t>ní telefon</w:t>
      </w:r>
      <w:r w:rsidRPr="004E2B72">
        <w:rPr>
          <w:rFonts w:cs="Arial"/>
          <w:szCs w:val="22"/>
        </w:rPr>
        <w:t xml:space="preserve"> apod.), jejichž alikvótní část je správné započítat do nákladů ICT projektu.</w:t>
      </w:r>
    </w:p>
    <w:p w14:paraId="72985C11" w14:textId="247956D5" w:rsidR="00221F5D" w:rsidRPr="004E2B72" w:rsidRDefault="00221F5D" w:rsidP="00073E78">
      <w:pPr>
        <w:tabs>
          <w:tab w:val="clear" w:pos="9072"/>
          <w:tab w:val="right" w:pos="9498"/>
        </w:tabs>
        <w:jc w:val="both"/>
        <w:rPr>
          <w:rFonts w:cs="Arial"/>
          <w:szCs w:val="22"/>
        </w:rPr>
      </w:pPr>
      <w:r w:rsidRPr="004E2B72">
        <w:rPr>
          <w:rFonts w:cs="Arial"/>
          <w:szCs w:val="22"/>
        </w:rPr>
        <w:t>Jako alternativu pro úřady, kde je vzhledem k velikosti a složitosti opravdu obtížné nalézt způsob v</w:t>
      </w:r>
      <w:r w:rsidR="00B91C2E" w:rsidRPr="004E2B72">
        <w:rPr>
          <w:rFonts w:cs="Arial"/>
          <w:szCs w:val="22"/>
        </w:rPr>
        <w:t>ě</w:t>
      </w:r>
      <w:r w:rsidRPr="004E2B72">
        <w:rPr>
          <w:rFonts w:cs="Arial"/>
          <w:szCs w:val="22"/>
        </w:rPr>
        <w:t>cné alokace výše uvedených kategorií režijních nákladů na proces (v našem případě ICT projekt)</w:t>
      </w:r>
      <w:r w:rsidR="00B91C2E" w:rsidRPr="004E2B72">
        <w:rPr>
          <w:rFonts w:cs="Arial"/>
          <w:szCs w:val="22"/>
        </w:rPr>
        <w:t xml:space="preserve"> doporučuje Metodika PMA přistoupit k alternativnímu způsobu získání nákladů výkonu agendy založeného na průměrných nákladech na zaměstnance OVM (FLC), s tím, že je ovšem nezbytné zvlášť zohlednit (nezapočítat) specifické přímé náklady na výkon agendy, našem případě přímé výdaje a náklady na projekt (např. právě na implementaci a provoz (agendových) informačních systémů), které tak nesmí být zahrnuty v základně, ze které došlo k výpočtu průměrných režijních nákladů zaměstnance.</w:t>
      </w:r>
    </w:p>
    <w:p w14:paraId="76A9EC7F" w14:textId="3653C39A" w:rsidR="00B91C2E" w:rsidRPr="004E2B72" w:rsidRDefault="00B91C2E" w:rsidP="00073E78">
      <w:pPr>
        <w:tabs>
          <w:tab w:val="clear" w:pos="9072"/>
          <w:tab w:val="right" w:pos="9498"/>
        </w:tabs>
        <w:jc w:val="both"/>
        <w:rPr>
          <w:rFonts w:cs="Arial"/>
          <w:szCs w:val="22"/>
        </w:rPr>
      </w:pPr>
      <w:r w:rsidRPr="004E2B72">
        <w:rPr>
          <w:rFonts w:cs="Arial"/>
          <w:szCs w:val="22"/>
        </w:rPr>
        <w:t xml:space="preserve">Interní náklady na projekt se poté získají odhadem (a následnou evidencí) přepočteného počtu úvazků pracovníků, zapojených </w:t>
      </w:r>
      <w:r w:rsidR="00FD39E2">
        <w:rPr>
          <w:rFonts w:cs="Arial"/>
          <w:szCs w:val="22"/>
        </w:rPr>
        <w:t xml:space="preserve">do/na </w:t>
      </w:r>
      <w:r w:rsidRPr="004E2B72">
        <w:rPr>
          <w:rFonts w:cs="Arial"/>
          <w:szCs w:val="22"/>
        </w:rPr>
        <w:t xml:space="preserve">projektu, krát sazba FLC. Do výpočtu průměrných nákladů na pracovníka OVM (a </w:t>
      </w:r>
      <w:r w:rsidR="00874AA4">
        <w:rPr>
          <w:rFonts w:cs="Arial"/>
          <w:szCs w:val="22"/>
        </w:rPr>
        <w:t xml:space="preserve">přes ně do </w:t>
      </w:r>
      <w:r w:rsidRPr="004E2B72">
        <w:rPr>
          <w:rFonts w:cs="Arial"/>
          <w:szCs w:val="22"/>
        </w:rPr>
        <w:t xml:space="preserve">projektu) pak Metodika PMA doporučuje zahrnout zejména následující položky: </w:t>
      </w:r>
    </w:p>
    <w:p w14:paraId="49FA8FE5" w14:textId="2F577E85" w:rsidR="00030205" w:rsidRPr="00C80226" w:rsidRDefault="00B91C2E" w:rsidP="00C80226">
      <w:pPr>
        <w:pStyle w:val="Odstavecseseznamem"/>
        <w:numPr>
          <w:ilvl w:val="0"/>
          <w:numId w:val="32"/>
        </w:numPr>
        <w:tabs>
          <w:tab w:val="clear" w:pos="9072"/>
          <w:tab w:val="right" w:pos="9498"/>
        </w:tabs>
        <w:jc w:val="both"/>
        <w:rPr>
          <w:rFonts w:cs="Arial"/>
          <w:strike/>
          <w:szCs w:val="22"/>
        </w:rPr>
      </w:pPr>
      <w:r w:rsidRPr="004E2B72">
        <w:rPr>
          <w:rFonts w:cs="Arial"/>
          <w:szCs w:val="22"/>
        </w:rPr>
        <w:t>Průměrný plat pracovníka OVM</w:t>
      </w:r>
      <w:r w:rsidR="000A5828">
        <w:rPr>
          <w:rFonts w:cs="Arial"/>
          <w:szCs w:val="22"/>
        </w:rPr>
        <w:t>, ve zvl. případech pracovníků ICT OVM v jednotlivých rolích,</w:t>
      </w:r>
      <w:r w:rsidRPr="004E2B72">
        <w:rPr>
          <w:rFonts w:cs="Arial"/>
          <w:szCs w:val="22"/>
        </w:rPr>
        <w:t xml:space="preserve"> vč. pojistného a příspěvku FKSP. </w:t>
      </w:r>
    </w:p>
    <w:p w14:paraId="687F1BC4" w14:textId="43AB2BCA" w:rsidR="00B91C2E" w:rsidRPr="004E2B72" w:rsidRDefault="00B91C2E" w:rsidP="00073E78">
      <w:pPr>
        <w:pStyle w:val="Odstavecseseznamem"/>
        <w:numPr>
          <w:ilvl w:val="0"/>
          <w:numId w:val="32"/>
        </w:numPr>
        <w:tabs>
          <w:tab w:val="clear" w:pos="9072"/>
          <w:tab w:val="right" w:pos="9498"/>
        </w:tabs>
        <w:jc w:val="both"/>
        <w:rPr>
          <w:rFonts w:cs="Arial"/>
          <w:szCs w:val="22"/>
        </w:rPr>
      </w:pPr>
      <w:r w:rsidRPr="004E2B72">
        <w:rPr>
          <w:rFonts w:cs="Arial"/>
          <w:szCs w:val="22"/>
        </w:rPr>
        <w:t xml:space="preserve">Průměrné náklady na školení a další vzdělávání pracovníků. </w:t>
      </w:r>
    </w:p>
    <w:p w14:paraId="6F591A9F" w14:textId="68AEDC18" w:rsidR="00B91C2E" w:rsidRPr="004E2B72" w:rsidRDefault="00B91C2E" w:rsidP="00073E78">
      <w:pPr>
        <w:pStyle w:val="Odstavecseseznamem"/>
        <w:numPr>
          <w:ilvl w:val="0"/>
          <w:numId w:val="32"/>
        </w:numPr>
        <w:tabs>
          <w:tab w:val="clear" w:pos="9072"/>
          <w:tab w:val="right" w:pos="9498"/>
        </w:tabs>
        <w:jc w:val="both"/>
        <w:rPr>
          <w:rFonts w:cs="Arial"/>
          <w:szCs w:val="22"/>
        </w:rPr>
      </w:pPr>
      <w:r w:rsidRPr="004E2B72">
        <w:rPr>
          <w:rFonts w:cs="Arial"/>
          <w:szCs w:val="22"/>
        </w:rPr>
        <w:t xml:space="preserve">Průměrné provozní náklady na provoz kanceláře (úklid, osvětlení, vytápění-plyn, voda). </w:t>
      </w:r>
    </w:p>
    <w:p w14:paraId="485F3F98" w14:textId="1932E5B4" w:rsidR="00B91C2E" w:rsidRPr="004E2B72" w:rsidRDefault="00B91C2E" w:rsidP="00073E78">
      <w:pPr>
        <w:pStyle w:val="Odstavecseseznamem"/>
        <w:numPr>
          <w:ilvl w:val="0"/>
          <w:numId w:val="32"/>
        </w:numPr>
        <w:tabs>
          <w:tab w:val="clear" w:pos="9072"/>
          <w:tab w:val="right" w:pos="9498"/>
        </w:tabs>
        <w:jc w:val="both"/>
        <w:rPr>
          <w:rFonts w:cs="Arial"/>
          <w:szCs w:val="22"/>
        </w:rPr>
      </w:pPr>
      <w:r w:rsidRPr="004E2B72">
        <w:rPr>
          <w:rFonts w:cs="Arial"/>
          <w:szCs w:val="22"/>
        </w:rPr>
        <w:t xml:space="preserve">Průměrné náklady na opravy a údržbu objektů. </w:t>
      </w:r>
    </w:p>
    <w:p w14:paraId="0917918C" w14:textId="6EF319C2" w:rsidR="00B91C2E" w:rsidRPr="004E2B72" w:rsidRDefault="00B91C2E" w:rsidP="00073E78">
      <w:pPr>
        <w:pStyle w:val="Odstavecseseznamem"/>
        <w:numPr>
          <w:ilvl w:val="0"/>
          <w:numId w:val="32"/>
        </w:numPr>
        <w:tabs>
          <w:tab w:val="clear" w:pos="9072"/>
          <w:tab w:val="right" w:pos="9498"/>
        </w:tabs>
        <w:jc w:val="both"/>
        <w:rPr>
          <w:rFonts w:cs="Arial"/>
          <w:szCs w:val="22"/>
        </w:rPr>
      </w:pPr>
      <w:r w:rsidRPr="004E2B72">
        <w:rPr>
          <w:rFonts w:cs="Arial"/>
          <w:szCs w:val="22"/>
        </w:rPr>
        <w:t xml:space="preserve">Průměrné investiční náklady související s rekonstrukcemi objektů. </w:t>
      </w:r>
    </w:p>
    <w:p w14:paraId="68376DD7" w14:textId="56F5DCD3" w:rsidR="00B91C2E" w:rsidRPr="004E2B72" w:rsidRDefault="00B91C2E" w:rsidP="00073E78">
      <w:pPr>
        <w:pStyle w:val="Odstavecseseznamem"/>
        <w:numPr>
          <w:ilvl w:val="0"/>
          <w:numId w:val="32"/>
        </w:numPr>
        <w:tabs>
          <w:tab w:val="clear" w:pos="9072"/>
          <w:tab w:val="right" w:pos="9498"/>
        </w:tabs>
        <w:jc w:val="both"/>
        <w:rPr>
          <w:rFonts w:cs="Arial"/>
          <w:szCs w:val="22"/>
        </w:rPr>
      </w:pPr>
      <w:r w:rsidRPr="004E2B72">
        <w:rPr>
          <w:rFonts w:cs="Arial"/>
          <w:szCs w:val="22"/>
        </w:rPr>
        <w:t xml:space="preserve">Průměrné náklady na provoz vozového parku (nákup vozidel, pohonné hmoty, údržba). </w:t>
      </w:r>
    </w:p>
    <w:p w14:paraId="317DC3F9" w14:textId="40BF73DD" w:rsidR="00B91C2E" w:rsidRPr="004E2B72" w:rsidRDefault="00B91C2E" w:rsidP="00073E78">
      <w:pPr>
        <w:pStyle w:val="Odstavecseseznamem"/>
        <w:numPr>
          <w:ilvl w:val="0"/>
          <w:numId w:val="32"/>
        </w:numPr>
        <w:tabs>
          <w:tab w:val="clear" w:pos="9072"/>
          <w:tab w:val="right" w:pos="9498"/>
        </w:tabs>
        <w:jc w:val="both"/>
        <w:rPr>
          <w:rFonts w:cs="Arial"/>
          <w:szCs w:val="22"/>
        </w:rPr>
      </w:pPr>
      <w:r w:rsidRPr="004E2B72">
        <w:rPr>
          <w:rFonts w:cs="Arial"/>
          <w:szCs w:val="22"/>
        </w:rPr>
        <w:t xml:space="preserve">Průměrné náklady na drobný spotřební materiál (kancelářské potřeby apod.). </w:t>
      </w:r>
    </w:p>
    <w:p w14:paraId="40D3EC64" w14:textId="52B95989" w:rsidR="00B91C2E" w:rsidRPr="004E2B72" w:rsidRDefault="00B91C2E" w:rsidP="00073E78">
      <w:pPr>
        <w:pStyle w:val="Odstavecseseznamem"/>
        <w:numPr>
          <w:ilvl w:val="0"/>
          <w:numId w:val="32"/>
        </w:numPr>
        <w:tabs>
          <w:tab w:val="clear" w:pos="9072"/>
          <w:tab w:val="right" w:pos="9498"/>
        </w:tabs>
        <w:jc w:val="both"/>
        <w:rPr>
          <w:rFonts w:cs="Arial"/>
          <w:szCs w:val="22"/>
        </w:rPr>
      </w:pPr>
      <w:r w:rsidRPr="004E2B72">
        <w:rPr>
          <w:rFonts w:cs="Arial"/>
          <w:szCs w:val="22"/>
        </w:rPr>
        <w:t xml:space="preserve">Průměrné náklady na vybavení pracovníka výpočetní technikou (PC, notebook, server a společné technologie k zabezpečení sítě). </w:t>
      </w:r>
    </w:p>
    <w:p w14:paraId="1D20965E" w14:textId="236D758C" w:rsidR="00B91C2E" w:rsidRPr="004E2B72" w:rsidRDefault="00B91C2E" w:rsidP="00073E78">
      <w:pPr>
        <w:pStyle w:val="Odstavecseseznamem"/>
        <w:numPr>
          <w:ilvl w:val="0"/>
          <w:numId w:val="32"/>
        </w:numPr>
        <w:tabs>
          <w:tab w:val="clear" w:pos="9072"/>
          <w:tab w:val="right" w:pos="9498"/>
        </w:tabs>
        <w:jc w:val="both"/>
        <w:rPr>
          <w:rFonts w:cs="Arial"/>
          <w:szCs w:val="22"/>
        </w:rPr>
      </w:pPr>
      <w:r w:rsidRPr="004E2B72">
        <w:rPr>
          <w:rFonts w:cs="Arial"/>
          <w:szCs w:val="22"/>
        </w:rPr>
        <w:t xml:space="preserve">Průměrné náklady na telekomunikace (mobilní a pevné telefony, připojení k internetu). </w:t>
      </w:r>
    </w:p>
    <w:p w14:paraId="0635460E" w14:textId="32F2AD1F" w:rsidR="00B91C2E" w:rsidRPr="004E2B72" w:rsidRDefault="00B91C2E" w:rsidP="00073E78">
      <w:pPr>
        <w:pStyle w:val="Odstavecseseznamem"/>
        <w:numPr>
          <w:ilvl w:val="0"/>
          <w:numId w:val="32"/>
        </w:numPr>
        <w:tabs>
          <w:tab w:val="clear" w:pos="9072"/>
          <w:tab w:val="right" w:pos="9498"/>
        </w:tabs>
        <w:jc w:val="both"/>
        <w:rPr>
          <w:rFonts w:cs="Arial"/>
          <w:szCs w:val="22"/>
        </w:rPr>
      </w:pPr>
      <w:r w:rsidRPr="004E2B72">
        <w:rPr>
          <w:rFonts w:cs="Arial"/>
          <w:szCs w:val="22"/>
        </w:rPr>
        <w:t xml:space="preserve">Průměrné náklady </w:t>
      </w:r>
      <w:r w:rsidR="005D071D" w:rsidRPr="004E2B72">
        <w:rPr>
          <w:rFonts w:cs="Arial"/>
          <w:szCs w:val="22"/>
        </w:rPr>
        <w:t xml:space="preserve">(režijního, podpůrného) </w:t>
      </w:r>
      <w:r w:rsidRPr="004E2B72">
        <w:rPr>
          <w:rFonts w:cs="Arial"/>
          <w:szCs w:val="22"/>
        </w:rPr>
        <w:t xml:space="preserve">softwarového vybavení. </w:t>
      </w:r>
    </w:p>
    <w:p w14:paraId="44CD3983" w14:textId="113E85F8" w:rsidR="00B91C2E" w:rsidRPr="004E2B72" w:rsidRDefault="00B91C2E" w:rsidP="00073E78">
      <w:pPr>
        <w:pStyle w:val="Odstavecseseznamem"/>
        <w:numPr>
          <w:ilvl w:val="0"/>
          <w:numId w:val="32"/>
        </w:numPr>
        <w:tabs>
          <w:tab w:val="clear" w:pos="9072"/>
          <w:tab w:val="right" w:pos="9498"/>
        </w:tabs>
        <w:jc w:val="both"/>
        <w:rPr>
          <w:rFonts w:cs="Arial"/>
          <w:szCs w:val="22"/>
        </w:rPr>
      </w:pPr>
      <w:r w:rsidRPr="004E2B72">
        <w:rPr>
          <w:rFonts w:cs="Arial"/>
          <w:szCs w:val="22"/>
        </w:rPr>
        <w:t xml:space="preserve">Průměrné náklady na spotřební materiál v oblasti výpočetní techniky. </w:t>
      </w:r>
    </w:p>
    <w:p w14:paraId="411B304D" w14:textId="710455D6" w:rsidR="00B91C2E" w:rsidRPr="004E2B72" w:rsidRDefault="00B91C2E" w:rsidP="00073E78">
      <w:pPr>
        <w:tabs>
          <w:tab w:val="clear" w:pos="9072"/>
          <w:tab w:val="right" w:pos="9498"/>
        </w:tabs>
        <w:jc w:val="both"/>
        <w:rPr>
          <w:rFonts w:cs="Arial"/>
          <w:szCs w:val="22"/>
        </w:rPr>
      </w:pPr>
      <w:r w:rsidRPr="004E2B72">
        <w:rPr>
          <w:rFonts w:cs="Arial"/>
          <w:szCs w:val="22"/>
        </w:rPr>
        <w:t xml:space="preserve">Doporučujeme nestanovit jediné průměrné náklady (FLC) za všechny zaměstnance úřadu, nýbrž podle mzdových tarifů, nároků na telefon a vozidlo a další kritérií sestavit několik typických profilů, kategorií zaměstnanců, nejlépe tak, aby pro usnadnění následného plánování vhodně korespondovaly s typickými </w:t>
      </w:r>
      <w:r w:rsidR="005D071D" w:rsidRPr="004E2B72">
        <w:rPr>
          <w:rFonts w:cs="Arial"/>
          <w:szCs w:val="22"/>
        </w:rPr>
        <w:t xml:space="preserve">rolemi zapojení pracovníků do ICT projektu. Obdobné kategorie se s výhodou uplatní i u ostatních (ne-ICT) úloh řízení nákladů úřadu. </w:t>
      </w:r>
    </w:p>
    <w:p w14:paraId="6455F007" w14:textId="77777777" w:rsidR="005212AB" w:rsidRPr="004E2B72" w:rsidRDefault="005212AB" w:rsidP="00C80226">
      <w:pPr>
        <w:pStyle w:val="Nadpis3"/>
      </w:pPr>
      <w:bookmarkStart w:id="15" w:name="_Ref428990956"/>
      <w:bookmarkStart w:id="16" w:name="_Toc120784670"/>
      <w:r w:rsidRPr="004E2B72">
        <w:t>Alternativy zajištění je</w:t>
      </w:r>
      <w:r w:rsidR="00231726" w:rsidRPr="004E2B72">
        <w:t>dnotlivých aktivit</w:t>
      </w:r>
      <w:bookmarkEnd w:id="15"/>
      <w:bookmarkEnd w:id="16"/>
    </w:p>
    <w:p w14:paraId="4FE63819" w14:textId="52557A30" w:rsidR="005212AB" w:rsidRPr="00C80226" w:rsidRDefault="005212AB" w:rsidP="00073E78">
      <w:pPr>
        <w:numPr>
          <w:ilvl w:val="0"/>
          <w:numId w:val="27"/>
        </w:numPr>
        <w:jc w:val="both"/>
        <w:rPr>
          <w:rFonts w:cs="Arial"/>
          <w:szCs w:val="22"/>
        </w:rPr>
      </w:pPr>
      <w:r w:rsidRPr="004E2B72">
        <w:rPr>
          <w:rFonts w:cs="Arial"/>
          <w:szCs w:val="22"/>
        </w:rPr>
        <w:t xml:space="preserve">Je-li daná aktivita </w:t>
      </w:r>
      <w:r w:rsidR="003A409E" w:rsidRPr="004E2B72">
        <w:rPr>
          <w:rFonts w:cs="Arial"/>
          <w:szCs w:val="22"/>
        </w:rPr>
        <w:t xml:space="preserve">(např. </w:t>
      </w:r>
      <w:r w:rsidR="000A77ED" w:rsidRPr="004E2B72">
        <w:rPr>
          <w:rFonts w:cs="Arial"/>
          <w:szCs w:val="22"/>
        </w:rPr>
        <w:t>uživatelské přizpůsobení</w:t>
      </w:r>
      <w:r w:rsidR="009B75D4" w:rsidRPr="004E2B72">
        <w:rPr>
          <w:rFonts w:cs="Arial"/>
          <w:szCs w:val="22"/>
        </w:rPr>
        <w:t xml:space="preserve"> aplikace</w:t>
      </w:r>
      <w:r w:rsidR="003A409E" w:rsidRPr="004E2B72">
        <w:rPr>
          <w:rFonts w:cs="Arial"/>
          <w:szCs w:val="22"/>
        </w:rPr>
        <w:t xml:space="preserve">) </w:t>
      </w:r>
      <w:r w:rsidRPr="004E2B72">
        <w:rPr>
          <w:rFonts w:cs="Arial"/>
          <w:b/>
          <w:szCs w:val="22"/>
        </w:rPr>
        <w:t>zajišťována vlastními zaměstnanci</w:t>
      </w:r>
      <w:r w:rsidRPr="004E2B72">
        <w:rPr>
          <w:rFonts w:cs="Arial"/>
          <w:szCs w:val="22"/>
        </w:rPr>
        <w:t xml:space="preserve">, pak se </w:t>
      </w:r>
      <w:r w:rsidR="00A201CC" w:rsidRPr="004E2B72">
        <w:rPr>
          <w:rFonts w:cs="Arial"/>
          <w:b/>
          <w:szCs w:val="22"/>
        </w:rPr>
        <w:t>při zjednodušených šetřeních</w:t>
      </w:r>
      <w:r w:rsidR="00A201CC" w:rsidRPr="004E2B72">
        <w:rPr>
          <w:rFonts w:cs="Arial"/>
          <w:szCs w:val="22"/>
        </w:rPr>
        <w:t xml:space="preserve"> </w:t>
      </w:r>
      <w:r w:rsidR="00807A5B" w:rsidRPr="004E2B72">
        <w:rPr>
          <w:rFonts w:cs="Arial"/>
          <w:szCs w:val="22"/>
        </w:rPr>
        <w:t xml:space="preserve">náklady této </w:t>
      </w:r>
      <w:r w:rsidR="003A409E" w:rsidRPr="004E2B72">
        <w:rPr>
          <w:rFonts w:cs="Arial"/>
          <w:szCs w:val="22"/>
        </w:rPr>
        <w:t>práce</w:t>
      </w:r>
      <w:r w:rsidR="00807A5B" w:rsidRPr="004E2B72">
        <w:rPr>
          <w:rFonts w:cs="Arial"/>
          <w:szCs w:val="22"/>
        </w:rPr>
        <w:t xml:space="preserve"> vypočítají tak, že se </w:t>
      </w:r>
      <w:r w:rsidRPr="004E2B72">
        <w:rPr>
          <w:rFonts w:cs="Arial"/>
          <w:szCs w:val="22"/>
        </w:rPr>
        <w:t xml:space="preserve">plánovaný, resp. skutečně vynaložený </w:t>
      </w:r>
      <w:r w:rsidRPr="004E2B72">
        <w:rPr>
          <w:rFonts w:cs="Arial"/>
          <w:b/>
          <w:szCs w:val="22"/>
        </w:rPr>
        <w:t>počet dnů práce</w:t>
      </w:r>
      <w:r w:rsidR="002F48C9" w:rsidRPr="004E2B72">
        <w:rPr>
          <w:rFonts w:cs="Arial"/>
          <w:b/>
          <w:szCs w:val="22"/>
        </w:rPr>
        <w:t>,</w:t>
      </w:r>
      <w:r w:rsidRPr="004E2B72">
        <w:rPr>
          <w:rFonts w:cs="Arial"/>
          <w:b/>
          <w:szCs w:val="22"/>
        </w:rPr>
        <w:t xml:space="preserve"> násobí průměrnými denními náklady</w:t>
      </w:r>
      <w:r w:rsidRPr="004E2B72">
        <w:rPr>
          <w:rFonts w:cs="Arial"/>
          <w:szCs w:val="22"/>
        </w:rPr>
        <w:t xml:space="preserve"> na daný typ pracovníka (hrubá mzda + sociální pojištění + zdravotní pojištění). Nezapočítávají se </w:t>
      </w:r>
      <w:r w:rsidR="008524B5" w:rsidRPr="004E2B72">
        <w:rPr>
          <w:rFonts w:cs="Arial"/>
          <w:szCs w:val="22"/>
        </w:rPr>
        <w:t xml:space="preserve">ale </w:t>
      </w:r>
      <w:r w:rsidRPr="004E2B72">
        <w:rPr>
          <w:rFonts w:cs="Arial"/>
          <w:szCs w:val="22"/>
        </w:rPr>
        <w:t xml:space="preserve">další druhy </w:t>
      </w:r>
      <w:r w:rsidR="00A201CC" w:rsidRPr="004E2B72">
        <w:rPr>
          <w:rFonts w:cs="Arial"/>
          <w:szCs w:val="22"/>
        </w:rPr>
        <w:t xml:space="preserve">přímých </w:t>
      </w:r>
      <w:r w:rsidRPr="004E2B72">
        <w:rPr>
          <w:rFonts w:cs="Arial"/>
          <w:szCs w:val="22"/>
        </w:rPr>
        <w:t>nákladů s pracovníkem související (nemocenská, školení, cestovné apod.)</w:t>
      </w:r>
      <w:r w:rsidR="00A201CC" w:rsidRPr="004E2B72">
        <w:rPr>
          <w:rFonts w:cs="Arial"/>
          <w:szCs w:val="22"/>
        </w:rPr>
        <w:t xml:space="preserve"> ani </w:t>
      </w:r>
      <w:r w:rsidR="005D071D" w:rsidRPr="004E2B72">
        <w:rPr>
          <w:rFonts w:cs="Arial"/>
          <w:szCs w:val="22"/>
        </w:rPr>
        <w:t xml:space="preserve">další </w:t>
      </w:r>
      <w:r w:rsidR="00A201CC" w:rsidRPr="004E2B72">
        <w:rPr>
          <w:rFonts w:cs="Arial"/>
          <w:szCs w:val="22"/>
        </w:rPr>
        <w:t>režie</w:t>
      </w:r>
      <w:r w:rsidRPr="004E2B72">
        <w:rPr>
          <w:rFonts w:cs="Arial"/>
          <w:szCs w:val="22"/>
        </w:rPr>
        <w:t>.</w:t>
      </w:r>
      <w:r w:rsidR="00A201CC" w:rsidRPr="004E2B72">
        <w:rPr>
          <w:rFonts w:cs="Arial"/>
          <w:szCs w:val="22"/>
        </w:rPr>
        <w:t xml:space="preserve"> Cílově by organizace pro jednotlivé pozice měla znát tzv. plné náklady pracovního času </w:t>
      </w:r>
      <w:r w:rsidR="00A201CC" w:rsidRPr="00C80226">
        <w:rPr>
          <w:rFonts w:cs="Arial"/>
          <w:szCs w:val="22"/>
        </w:rPr>
        <w:t>zaměstnance (FLC)</w:t>
      </w:r>
      <w:r w:rsidR="009B3AE2" w:rsidRPr="00C80226">
        <w:rPr>
          <w:rFonts w:cs="Arial"/>
          <w:szCs w:val="22"/>
        </w:rPr>
        <w:t>, které</w:t>
      </w:r>
      <w:r w:rsidR="00A201CC" w:rsidRPr="00C80226">
        <w:rPr>
          <w:rFonts w:cs="Arial"/>
          <w:szCs w:val="22"/>
        </w:rPr>
        <w:t xml:space="preserve"> bývají až dvakrát vyšší než mzdové náklady</w:t>
      </w:r>
      <w:r w:rsidR="00A201CC" w:rsidRPr="00C80226">
        <w:rPr>
          <w:rStyle w:val="Znakapoznpodarou"/>
          <w:rFonts w:cs="Arial"/>
          <w:szCs w:val="22"/>
        </w:rPr>
        <w:footnoteReference w:id="21"/>
      </w:r>
      <w:r w:rsidR="00A201CC" w:rsidRPr="00C80226">
        <w:rPr>
          <w:rFonts w:cs="Arial"/>
          <w:szCs w:val="22"/>
        </w:rPr>
        <w:t>.</w:t>
      </w:r>
      <w:r w:rsidR="00E76959" w:rsidRPr="00C80226">
        <w:rPr>
          <w:rFonts w:cs="Arial"/>
          <w:szCs w:val="22"/>
        </w:rPr>
        <w:t xml:space="preserve"> Pro ostatní (nezjednodušené) způsoby využití TCO je </w:t>
      </w:r>
      <w:r w:rsidR="005D071D" w:rsidRPr="00C80226">
        <w:rPr>
          <w:rFonts w:cs="Arial"/>
          <w:szCs w:val="22"/>
        </w:rPr>
        <w:t>znalost těchto interních nákladových sazeb</w:t>
      </w:r>
      <w:r w:rsidR="00E76959" w:rsidRPr="00C80226">
        <w:rPr>
          <w:rFonts w:cs="Arial"/>
          <w:szCs w:val="22"/>
        </w:rPr>
        <w:t xml:space="preserve"> podstatn</w:t>
      </w:r>
      <w:r w:rsidR="005D071D" w:rsidRPr="00C80226">
        <w:rPr>
          <w:rFonts w:cs="Arial"/>
          <w:szCs w:val="22"/>
        </w:rPr>
        <w:t>á</w:t>
      </w:r>
      <w:r w:rsidR="00E76959" w:rsidRPr="00C80226">
        <w:rPr>
          <w:rFonts w:cs="Arial"/>
          <w:szCs w:val="22"/>
        </w:rPr>
        <w:t>.</w:t>
      </w:r>
    </w:p>
    <w:p w14:paraId="4E030514" w14:textId="255E7B76" w:rsidR="005212AB" w:rsidRPr="00C80226" w:rsidRDefault="005212AB" w:rsidP="00073E78">
      <w:pPr>
        <w:numPr>
          <w:ilvl w:val="0"/>
          <w:numId w:val="27"/>
        </w:numPr>
        <w:jc w:val="both"/>
        <w:rPr>
          <w:rFonts w:cs="Arial"/>
          <w:szCs w:val="22"/>
        </w:rPr>
      </w:pPr>
      <w:r w:rsidRPr="00C80226">
        <w:rPr>
          <w:rFonts w:cs="Arial"/>
          <w:szCs w:val="22"/>
        </w:rPr>
        <w:t xml:space="preserve">Je-li daná aktivita </w:t>
      </w:r>
      <w:r w:rsidRPr="00C80226">
        <w:rPr>
          <w:rFonts w:cs="Arial"/>
          <w:b/>
          <w:szCs w:val="22"/>
        </w:rPr>
        <w:t>zajišťována pouze externě</w:t>
      </w:r>
      <w:r w:rsidRPr="00C80226">
        <w:rPr>
          <w:rFonts w:cs="Arial"/>
          <w:szCs w:val="22"/>
        </w:rPr>
        <w:t xml:space="preserve">, pak se </w:t>
      </w:r>
      <w:r w:rsidRPr="00C80226">
        <w:rPr>
          <w:rFonts w:cs="Arial"/>
          <w:b/>
          <w:szCs w:val="22"/>
        </w:rPr>
        <w:t>přebírá hodnota z příslušné faktury</w:t>
      </w:r>
      <w:r w:rsidRPr="00C80226">
        <w:rPr>
          <w:rFonts w:cs="Arial"/>
          <w:szCs w:val="22"/>
        </w:rPr>
        <w:t xml:space="preserve">, a to </w:t>
      </w:r>
      <w:r w:rsidR="00251001" w:rsidRPr="00C80226">
        <w:rPr>
          <w:rFonts w:cs="Arial"/>
          <w:b/>
          <w:szCs w:val="22"/>
        </w:rPr>
        <w:t xml:space="preserve">včetně </w:t>
      </w:r>
      <w:r w:rsidRPr="00C80226">
        <w:rPr>
          <w:rFonts w:cs="Arial"/>
          <w:b/>
          <w:szCs w:val="22"/>
        </w:rPr>
        <w:t>DPH</w:t>
      </w:r>
      <w:r w:rsidRPr="00C80226">
        <w:rPr>
          <w:rFonts w:cs="Arial"/>
          <w:szCs w:val="22"/>
        </w:rPr>
        <w:t>.</w:t>
      </w:r>
    </w:p>
    <w:p w14:paraId="64E69C9E" w14:textId="29F28345" w:rsidR="005212AB" w:rsidRPr="00C80226" w:rsidRDefault="005212AB" w:rsidP="00073E78">
      <w:pPr>
        <w:numPr>
          <w:ilvl w:val="0"/>
          <w:numId w:val="27"/>
        </w:numPr>
        <w:jc w:val="both"/>
        <w:rPr>
          <w:rFonts w:cs="Arial"/>
          <w:szCs w:val="22"/>
        </w:rPr>
      </w:pPr>
      <w:r w:rsidRPr="00C80226">
        <w:rPr>
          <w:rFonts w:cs="Arial"/>
          <w:szCs w:val="22"/>
        </w:rPr>
        <w:t xml:space="preserve">Je-li daná aktivita </w:t>
      </w:r>
      <w:r w:rsidRPr="00C80226">
        <w:rPr>
          <w:rFonts w:cs="Arial"/>
          <w:b/>
          <w:szCs w:val="22"/>
        </w:rPr>
        <w:t>zajišťována jak vlastními zaměstnanci, tak externě</w:t>
      </w:r>
      <w:r w:rsidRPr="00C80226">
        <w:rPr>
          <w:rFonts w:cs="Arial"/>
          <w:szCs w:val="22"/>
        </w:rPr>
        <w:t>, sčítají se obě hodnoty (a) + (b).</w:t>
      </w:r>
    </w:p>
    <w:p w14:paraId="146628A1" w14:textId="41346E28" w:rsidR="00A201CC" w:rsidRPr="00C80226" w:rsidRDefault="00A201CC" w:rsidP="00073E78">
      <w:pPr>
        <w:numPr>
          <w:ilvl w:val="0"/>
          <w:numId w:val="27"/>
        </w:numPr>
        <w:jc w:val="both"/>
        <w:rPr>
          <w:rFonts w:cs="Arial"/>
          <w:szCs w:val="22"/>
        </w:rPr>
      </w:pPr>
      <w:r w:rsidRPr="00C80226">
        <w:rPr>
          <w:rFonts w:cs="Arial"/>
          <w:szCs w:val="22"/>
        </w:rPr>
        <w:t xml:space="preserve">Pokud s danou činností a fází </w:t>
      </w:r>
      <w:r w:rsidR="001F01D3" w:rsidRPr="00C80226">
        <w:rPr>
          <w:rFonts w:cs="Arial"/>
          <w:szCs w:val="22"/>
        </w:rPr>
        <w:t xml:space="preserve">souvisí i </w:t>
      </w:r>
      <w:r w:rsidR="001F01D3" w:rsidRPr="00C80226">
        <w:rPr>
          <w:rFonts w:cs="Arial"/>
          <w:b/>
          <w:szCs w:val="22"/>
        </w:rPr>
        <w:t>spotřeba jiných nákladových druhů než jsou mzdové</w:t>
      </w:r>
      <w:r w:rsidR="001F01D3" w:rsidRPr="00C80226">
        <w:rPr>
          <w:rFonts w:cs="Arial"/>
          <w:szCs w:val="22"/>
        </w:rPr>
        <w:t xml:space="preserve"> (například přímo použitý materiál či dodaná zařízení) je potřeba je </w:t>
      </w:r>
      <w:r w:rsidR="00F25131" w:rsidRPr="00C80226">
        <w:rPr>
          <w:rFonts w:cs="Arial"/>
          <w:szCs w:val="22"/>
        </w:rPr>
        <w:t>zahrnout</w:t>
      </w:r>
      <w:r w:rsidR="001F01D3" w:rsidRPr="00C80226">
        <w:rPr>
          <w:rFonts w:cs="Arial"/>
          <w:szCs w:val="22"/>
        </w:rPr>
        <w:t xml:space="preserve">. Nejčastěji podle dodavatelských faktur, a to </w:t>
      </w:r>
      <w:r w:rsidR="00251001" w:rsidRPr="00C80226">
        <w:rPr>
          <w:rFonts w:cs="Arial"/>
          <w:szCs w:val="22"/>
        </w:rPr>
        <w:t xml:space="preserve">včetně </w:t>
      </w:r>
      <w:r w:rsidR="001F01D3" w:rsidRPr="00C80226">
        <w:rPr>
          <w:rFonts w:cs="Arial"/>
          <w:szCs w:val="22"/>
        </w:rPr>
        <w:t>DPH.</w:t>
      </w:r>
    </w:p>
    <w:p w14:paraId="19A4B87C" w14:textId="228114F1" w:rsidR="00312A5A" w:rsidRPr="004E2B72" w:rsidRDefault="00312A5A" w:rsidP="00073E78">
      <w:pPr>
        <w:pStyle w:val="Nadpis2"/>
        <w:jc w:val="both"/>
        <w:rPr>
          <w:rFonts w:cs="Arial"/>
        </w:rPr>
      </w:pPr>
      <w:bookmarkStart w:id="17" w:name="_Toc120784671"/>
      <w:r w:rsidRPr="004E2B72">
        <w:rPr>
          <w:rFonts w:cs="Arial"/>
        </w:rPr>
        <w:t>Způsoby vyhodnocení TCO</w:t>
      </w:r>
      <w:bookmarkEnd w:id="17"/>
    </w:p>
    <w:p w14:paraId="3FFB3084" w14:textId="5B4815E1" w:rsidR="00312A5A" w:rsidRPr="004E2B72" w:rsidRDefault="00312A5A" w:rsidP="00073E78">
      <w:pPr>
        <w:jc w:val="both"/>
        <w:rPr>
          <w:rFonts w:cs="Arial"/>
        </w:rPr>
      </w:pPr>
      <w:r w:rsidRPr="004E2B72">
        <w:rPr>
          <w:rFonts w:cs="Arial"/>
        </w:rPr>
        <w:t xml:space="preserve">Souhrnný ukazatel celkových nákladů </w:t>
      </w:r>
      <w:r w:rsidR="00FD39E2">
        <w:rPr>
          <w:rFonts w:cs="Arial"/>
        </w:rPr>
        <w:t xml:space="preserve">na </w:t>
      </w:r>
      <w:r w:rsidRPr="004E2B72">
        <w:rPr>
          <w:rFonts w:cs="Arial"/>
        </w:rPr>
        <w:t xml:space="preserve">vlastnictví </w:t>
      </w:r>
      <w:r w:rsidR="00F25131" w:rsidRPr="004E2B72">
        <w:rPr>
          <w:rFonts w:cs="Arial"/>
        </w:rPr>
        <w:t xml:space="preserve">je jenom </w:t>
      </w:r>
      <w:r w:rsidRPr="004E2B72">
        <w:rPr>
          <w:rFonts w:cs="Arial"/>
        </w:rPr>
        <w:t>jedním z mnoha agregovaných ukazatelů (KPI) metodiky řízení výkonnosti a zodpovědnosti veřejné správy.</w:t>
      </w:r>
    </w:p>
    <w:p w14:paraId="099D1E25" w14:textId="358E37E7" w:rsidR="00312A5A" w:rsidRPr="004E2B72" w:rsidRDefault="00312A5A" w:rsidP="00073E78">
      <w:pPr>
        <w:jc w:val="both"/>
        <w:rPr>
          <w:rFonts w:cs="Arial"/>
        </w:rPr>
      </w:pPr>
      <w:r w:rsidRPr="004E2B72">
        <w:rPr>
          <w:rFonts w:cs="Arial"/>
        </w:rPr>
        <w:t xml:space="preserve">Stejně jako ostatní KPI se také TCO </w:t>
      </w:r>
      <w:r w:rsidR="008D3C10" w:rsidRPr="004E2B72">
        <w:rPr>
          <w:rFonts w:cs="Arial"/>
          <w:b/>
        </w:rPr>
        <w:t>při řízení výkonnosti</w:t>
      </w:r>
      <w:r w:rsidR="008D3C10" w:rsidRPr="004E2B72">
        <w:rPr>
          <w:rFonts w:cs="Arial"/>
        </w:rPr>
        <w:t xml:space="preserve"> </w:t>
      </w:r>
      <w:r w:rsidRPr="004E2B72">
        <w:rPr>
          <w:rFonts w:cs="Arial"/>
        </w:rPr>
        <w:t>interpretuje a vyhodnocuje několika základními způsoby:</w:t>
      </w:r>
    </w:p>
    <w:p w14:paraId="7266253C" w14:textId="4A9D83F7" w:rsidR="008D3C10" w:rsidRPr="004E2B72" w:rsidRDefault="00312A5A" w:rsidP="00B64CAF">
      <w:pPr>
        <w:pStyle w:val="Odstavecseseznamem"/>
        <w:numPr>
          <w:ilvl w:val="0"/>
          <w:numId w:val="34"/>
        </w:numPr>
        <w:tabs>
          <w:tab w:val="clear" w:pos="284"/>
          <w:tab w:val="clear" w:pos="567"/>
          <w:tab w:val="clear" w:pos="851"/>
          <w:tab w:val="left" w:pos="709"/>
        </w:tabs>
        <w:ind w:left="709" w:hanging="289"/>
        <w:jc w:val="both"/>
        <w:rPr>
          <w:rFonts w:cs="Arial"/>
        </w:rPr>
      </w:pPr>
      <w:r w:rsidRPr="004E2B72">
        <w:rPr>
          <w:rFonts w:cs="Arial"/>
        </w:rPr>
        <w:t xml:space="preserve">interpretace (vyhodnocení a vysvětlení) </w:t>
      </w:r>
      <w:r w:rsidRPr="004E2B72">
        <w:rPr>
          <w:rFonts w:cs="Arial"/>
          <w:b/>
        </w:rPr>
        <w:t>absolutní výše nákladů</w:t>
      </w:r>
      <w:r w:rsidRPr="004E2B72">
        <w:rPr>
          <w:rFonts w:cs="Arial"/>
        </w:rPr>
        <w:t xml:space="preserve"> za celé období</w:t>
      </w:r>
      <w:r w:rsidR="00F34DD4">
        <w:rPr>
          <w:rFonts w:cs="Arial"/>
        </w:rPr>
        <w:t xml:space="preserve">, za konkrétní rok, </w:t>
      </w:r>
      <w:r w:rsidRPr="004E2B72">
        <w:rPr>
          <w:rFonts w:cs="Arial"/>
        </w:rPr>
        <w:t>nebo průměr za 1 rok</w:t>
      </w:r>
    </w:p>
    <w:p w14:paraId="0AE37487" w14:textId="5228F0F1" w:rsidR="008D3C10" w:rsidRPr="004E2B72" w:rsidRDefault="008D3C10" w:rsidP="00B64CAF">
      <w:pPr>
        <w:pStyle w:val="Odstavecseseznamem"/>
        <w:numPr>
          <w:ilvl w:val="0"/>
          <w:numId w:val="34"/>
        </w:numPr>
        <w:tabs>
          <w:tab w:val="clear" w:pos="284"/>
          <w:tab w:val="clear" w:pos="567"/>
          <w:tab w:val="clear" w:pos="851"/>
          <w:tab w:val="left" w:pos="709"/>
        </w:tabs>
        <w:ind w:left="709" w:hanging="289"/>
        <w:jc w:val="both"/>
        <w:rPr>
          <w:rFonts w:cs="Arial"/>
        </w:rPr>
      </w:pPr>
      <w:r w:rsidRPr="004E2B72">
        <w:rPr>
          <w:rFonts w:cs="Arial"/>
        </w:rPr>
        <w:t xml:space="preserve">vyhodnocení výkonnosti </w:t>
      </w:r>
      <w:r w:rsidRPr="004E2B72">
        <w:rPr>
          <w:rFonts w:cs="Arial"/>
          <w:b/>
        </w:rPr>
        <w:t>porovnáním</w:t>
      </w:r>
      <w:r w:rsidRPr="004E2B72">
        <w:rPr>
          <w:rFonts w:cs="Arial"/>
        </w:rPr>
        <w:t>, a to</w:t>
      </w:r>
      <w:r w:rsidR="00C422F3" w:rsidRPr="004E2B72">
        <w:rPr>
          <w:rFonts w:cs="Arial"/>
        </w:rPr>
        <w:t xml:space="preserve"> p</w:t>
      </w:r>
      <w:r w:rsidR="00032C04">
        <w:rPr>
          <w:rFonts w:cs="Arial"/>
        </w:rPr>
        <w:t>rostřednictvím</w:t>
      </w:r>
      <w:r w:rsidRPr="004E2B72">
        <w:rPr>
          <w:rFonts w:cs="Arial"/>
        </w:rPr>
        <w:t>:</w:t>
      </w:r>
    </w:p>
    <w:p w14:paraId="7CD79E03" w14:textId="17DC77CB" w:rsidR="00312A5A" w:rsidRPr="004E2B72" w:rsidRDefault="008D3C10" w:rsidP="00032C04">
      <w:pPr>
        <w:pStyle w:val="Odstavecseseznamem"/>
        <w:numPr>
          <w:ilvl w:val="1"/>
          <w:numId w:val="34"/>
        </w:numPr>
        <w:tabs>
          <w:tab w:val="clear" w:pos="851"/>
          <w:tab w:val="clear" w:pos="1418"/>
          <w:tab w:val="left" w:pos="993"/>
        </w:tabs>
        <w:spacing w:before="40" w:after="0"/>
        <w:ind w:left="993" w:hanging="284"/>
        <w:contextualSpacing w:val="0"/>
        <w:jc w:val="both"/>
        <w:rPr>
          <w:rFonts w:cs="Arial"/>
        </w:rPr>
      </w:pPr>
      <w:r w:rsidRPr="004E2B72">
        <w:rPr>
          <w:rFonts w:cs="Arial"/>
        </w:rPr>
        <w:t>porovnání aktuálního výsledku s</w:t>
      </w:r>
      <w:r w:rsidR="00F34DD4">
        <w:rPr>
          <w:rFonts w:cs="Arial"/>
        </w:rPr>
        <w:t> </w:t>
      </w:r>
      <w:r w:rsidRPr="004E2B72">
        <w:rPr>
          <w:rFonts w:cs="Arial"/>
        </w:rPr>
        <w:t>předchozími</w:t>
      </w:r>
      <w:r w:rsidR="00F34DD4">
        <w:rPr>
          <w:rFonts w:cs="Arial"/>
        </w:rPr>
        <w:t>,</w:t>
      </w:r>
    </w:p>
    <w:p w14:paraId="7730FA04" w14:textId="770FE586" w:rsidR="008D3C10" w:rsidRPr="004E2B72" w:rsidRDefault="008D3C10" w:rsidP="00032C04">
      <w:pPr>
        <w:pStyle w:val="Odstavecseseznamem"/>
        <w:numPr>
          <w:ilvl w:val="1"/>
          <w:numId w:val="34"/>
        </w:numPr>
        <w:tabs>
          <w:tab w:val="clear" w:pos="851"/>
          <w:tab w:val="clear" w:pos="1418"/>
          <w:tab w:val="left" w:pos="993"/>
        </w:tabs>
        <w:spacing w:before="40" w:after="0"/>
        <w:ind w:left="993" w:hanging="284"/>
        <w:contextualSpacing w:val="0"/>
        <w:jc w:val="both"/>
        <w:rPr>
          <w:rFonts w:cs="Arial"/>
        </w:rPr>
      </w:pPr>
      <w:r w:rsidRPr="004E2B72">
        <w:rPr>
          <w:rFonts w:cs="Arial"/>
        </w:rPr>
        <w:t>porovnání dosažené skutečnosti proti plánu, případně zpřesněnému odhadu, (předpovědi)</w:t>
      </w:r>
      <w:r w:rsidRPr="004E2B72">
        <w:rPr>
          <w:rStyle w:val="Znakapoznpodarou"/>
          <w:rFonts w:cs="Arial"/>
        </w:rPr>
        <w:footnoteReference w:id="22"/>
      </w:r>
      <w:r w:rsidR="00F34DD4">
        <w:rPr>
          <w:rFonts w:cs="Arial"/>
        </w:rPr>
        <w:t>,</w:t>
      </w:r>
    </w:p>
    <w:p w14:paraId="6784ED07" w14:textId="0C170C89" w:rsidR="008D3C10" w:rsidRPr="004E2B72" w:rsidRDefault="008D3C10" w:rsidP="00032C04">
      <w:pPr>
        <w:pStyle w:val="Odstavecseseznamem"/>
        <w:numPr>
          <w:ilvl w:val="1"/>
          <w:numId w:val="34"/>
        </w:numPr>
        <w:tabs>
          <w:tab w:val="clear" w:pos="851"/>
          <w:tab w:val="clear" w:pos="1418"/>
          <w:tab w:val="left" w:pos="993"/>
        </w:tabs>
        <w:spacing w:before="40" w:after="0"/>
        <w:ind w:left="993" w:hanging="284"/>
        <w:contextualSpacing w:val="0"/>
        <w:jc w:val="both"/>
        <w:rPr>
          <w:rFonts w:cs="Arial"/>
        </w:rPr>
      </w:pPr>
      <w:r w:rsidRPr="00032C04">
        <w:rPr>
          <w:rFonts w:cs="Arial"/>
        </w:rPr>
        <w:t xml:space="preserve">porovnání vlastních výsledků s ostatními ve srovnávací skupině (benchmarking), a to například buď srovnání několika řešení jednoho </w:t>
      </w:r>
      <w:r w:rsidR="009B3AE2" w:rsidRPr="00032C04">
        <w:rPr>
          <w:rFonts w:cs="Arial"/>
        </w:rPr>
        <w:t>úřadu, nebo</w:t>
      </w:r>
      <w:r w:rsidRPr="004E2B72">
        <w:rPr>
          <w:rFonts w:cs="Arial"/>
        </w:rPr>
        <w:t xml:space="preserve"> srovnání obdobných řešení mezi úřady navzájem.</w:t>
      </w:r>
    </w:p>
    <w:p w14:paraId="00EA2B6E" w14:textId="24830ECB" w:rsidR="008D3C10" w:rsidRPr="004E2B72" w:rsidRDefault="008D3C10" w:rsidP="00073E78">
      <w:pPr>
        <w:jc w:val="both"/>
        <w:rPr>
          <w:rFonts w:cs="Arial"/>
        </w:rPr>
      </w:pPr>
      <w:r w:rsidRPr="004E2B72">
        <w:rPr>
          <w:rFonts w:cs="Arial"/>
        </w:rPr>
        <w:t xml:space="preserve">Při použití ukazatele TCO na </w:t>
      </w:r>
      <w:r w:rsidRPr="004E2B72">
        <w:rPr>
          <w:rFonts w:cs="Arial"/>
          <w:b/>
        </w:rPr>
        <w:t xml:space="preserve">podporu rozhodování o investiční variantě řešení </w:t>
      </w:r>
      <w:r w:rsidRPr="004E2B72">
        <w:rPr>
          <w:rFonts w:cs="Arial"/>
        </w:rPr>
        <w:t>se použije metoda porovnání plánovaných (odhadovaných) hodnot. Korektnost plánování se zajistí následnou kontrolou odchylek plán/skutečnost u vybrané realizované varianty.</w:t>
      </w:r>
    </w:p>
    <w:p w14:paraId="63725EF5" w14:textId="77777777" w:rsidR="00C422F3" w:rsidRPr="004E2B72" w:rsidRDefault="001159DA" w:rsidP="00073E78">
      <w:pPr>
        <w:jc w:val="both"/>
        <w:rPr>
          <w:rFonts w:cs="Arial"/>
        </w:rPr>
      </w:pPr>
      <w:r w:rsidRPr="004E2B72">
        <w:rPr>
          <w:rFonts w:cs="Arial"/>
        </w:rPr>
        <w:t>Pro lepší porozumění přípustnému zjednodušení řízení nákladů pro ICT VS ČR uvádíme principiální interpretaci ukazatele TCO konkrétního řešení – představuje souhrn nákladů (spotřeby zdrojů) všeho druhu a původu, o něž se zvedne spotřeba zdrojů úřadu právě v souvislosti s vla</w:t>
      </w:r>
      <w:r w:rsidR="00F275C6" w:rsidRPr="004E2B72">
        <w:rPr>
          <w:rFonts w:cs="Arial"/>
        </w:rPr>
        <w:t>stněním/užíváním řešení, a která</w:t>
      </w:r>
      <w:r w:rsidRPr="004E2B72">
        <w:rPr>
          <w:rFonts w:cs="Arial"/>
        </w:rPr>
        <w:t xml:space="preserve">žto spotřeba by bez vlastnictví předmětného řešení nenastala. </w:t>
      </w:r>
    </w:p>
    <w:p w14:paraId="55EFBACC" w14:textId="63B831F5" w:rsidR="00292E89" w:rsidRDefault="001159DA" w:rsidP="00073E78">
      <w:pPr>
        <w:jc w:val="both"/>
        <w:rPr>
          <w:rFonts w:cs="Arial"/>
        </w:rPr>
      </w:pPr>
      <w:r w:rsidRPr="004E2B72">
        <w:rPr>
          <w:rFonts w:cs="Arial"/>
        </w:rPr>
        <w:t xml:space="preserve">Příklad: pokud jsou pro úspěch projektu potřebné nové pracovní stanice uživatelů nebo posílení síťové infrastruktury úřadu, musí se tyto započítat. A naopak, </w:t>
      </w:r>
      <w:r w:rsidR="00F63B0C" w:rsidRPr="004E2B72">
        <w:rPr>
          <w:rFonts w:cs="Arial"/>
        </w:rPr>
        <w:t xml:space="preserve">v opačném případě, </w:t>
      </w:r>
      <w:r w:rsidRPr="004E2B72">
        <w:rPr>
          <w:rFonts w:cs="Arial"/>
        </w:rPr>
        <w:t>pokud projekt po celou dobu 5 let nevyžaduje náklady na pracovní stanice nebo na posílení sítí</w:t>
      </w:r>
      <w:r w:rsidR="00915EB2" w:rsidRPr="004E2B72">
        <w:rPr>
          <w:rFonts w:cs="Arial"/>
        </w:rPr>
        <w:t>, nemusí se alikvótní část nákladů na ně (ať už rozpočtená jakýmkoli klíčem) do ekonomické náročnosti projektu metodikou TCO započítat.</w:t>
      </w:r>
    </w:p>
    <w:p w14:paraId="2C6172D3" w14:textId="7918BC52" w:rsidR="00FF22A2" w:rsidRDefault="00335DE3" w:rsidP="00C80226">
      <w:pPr>
        <w:pStyle w:val="Nadpis2"/>
      </w:pPr>
      <w:bookmarkStart w:id="18" w:name="_Ref120709736"/>
      <w:bookmarkStart w:id="19" w:name="_Toc120784672"/>
      <w:r>
        <w:t>Legislativní zmocnění k vyhodnocování TCO</w:t>
      </w:r>
      <w:bookmarkEnd w:id="18"/>
      <w:bookmarkEnd w:id="19"/>
    </w:p>
    <w:p w14:paraId="44FD941E" w14:textId="2C2562E4" w:rsidR="00335DE3" w:rsidRDefault="00335DE3" w:rsidP="00C80226">
      <w:pPr>
        <w:pStyle w:val="Zkladntext"/>
      </w:pPr>
      <w:r>
        <w:t>Počáteční idea vyhodnocování ekonomické výhodnosti ISVS s využitím ukazatele TCO pochází z se Strategie…, schválené usnesením vlády č. 889 ze dne 2.</w:t>
      </w:r>
      <w:r w:rsidR="000E431A">
        <w:t xml:space="preserve"> </w:t>
      </w:r>
      <w:r>
        <w:t>11.</w:t>
      </w:r>
      <w:r w:rsidR="000E431A">
        <w:t xml:space="preserve"> </w:t>
      </w:r>
      <w:r>
        <w:t>2015. Neměla žádnou vazbu na obecnou úpravu „</w:t>
      </w:r>
      <w:r>
        <w:rPr>
          <w:i/>
        </w:rPr>
        <w:t>péče řádného hospodáře</w:t>
      </w:r>
      <w:r>
        <w:rPr>
          <w:rStyle w:val="Znakapoznpodarou"/>
          <w:i/>
        </w:rPr>
        <w:footnoteReference w:id="23"/>
      </w:r>
      <w:r>
        <w:rPr>
          <w:i/>
        </w:rPr>
        <w:t xml:space="preserve">“ </w:t>
      </w:r>
      <w:r>
        <w:t>a na ustanovení zákona o finanční kontrole, jeho prováděcí vyhlášky a metodických a výkladových materiálů.</w:t>
      </w:r>
    </w:p>
    <w:p w14:paraId="7826067F" w14:textId="59AEB507" w:rsidR="00335DE3" w:rsidRDefault="00335DE3" w:rsidP="00C80226">
      <w:pPr>
        <w:pStyle w:val="Zkladntext"/>
      </w:pPr>
      <w:r>
        <w:t>Ekonomické řízení ISVS je přirozenou součástí tzv. dlouhodobého řízení ISVS a navíc je nezbytné pro informovaná rozhodnutí o umístění řešení do Cloudu, a proto</w:t>
      </w:r>
      <w:r w:rsidR="003D144B">
        <w:t xml:space="preserve"> se do zákona č. 365/2000 Sb., o informačních systémech veřejné správy </w:t>
      </w:r>
      <w:r>
        <w:t>a do připravované vyhlášky dostala odpovídající ustanovení.</w:t>
      </w:r>
    </w:p>
    <w:p w14:paraId="5188682C" w14:textId="19972E70" w:rsidR="00335DE3" w:rsidRDefault="00335DE3" w:rsidP="00C80226">
      <w:pPr>
        <w:pStyle w:val="Nadpis3"/>
      </w:pPr>
      <w:bookmarkStart w:id="20" w:name="_Toc120784673"/>
      <w:r>
        <w:t xml:space="preserve">Povinnosti ze zákona </w:t>
      </w:r>
      <w:r w:rsidR="003D144B">
        <w:t xml:space="preserve">č. 365/2000 Sb., </w:t>
      </w:r>
      <w:r>
        <w:t>o ISVS</w:t>
      </w:r>
      <w:bookmarkEnd w:id="20"/>
      <w:r>
        <w:t xml:space="preserve"> </w:t>
      </w:r>
    </w:p>
    <w:p w14:paraId="2CC10E3F" w14:textId="4F803664" w:rsidR="00842245" w:rsidRDefault="00842245" w:rsidP="00C80226">
      <w:pPr>
        <w:pStyle w:val="Zkladntext"/>
      </w:pPr>
      <w:r>
        <w:t xml:space="preserve">Podle §5 Zákona, odstavec 2, </w:t>
      </w:r>
      <w:r w:rsidRPr="00842245">
        <w:t>Orgány veřejné správy jsou v rámci informačních systémů veřejné správy povinny</w:t>
      </w:r>
      <w:r>
        <w:t>:</w:t>
      </w:r>
    </w:p>
    <w:p w14:paraId="37D300AB" w14:textId="274FB164" w:rsidR="00842245" w:rsidRDefault="00842245" w:rsidP="00842245">
      <w:pPr>
        <w:pStyle w:val="Zkladntext"/>
      </w:pPr>
      <w:r>
        <w:t>j) provádět hodnocení ekonomické výhodnosti způsobu provozu jimi spravovaných informačních systémů veřejné správy,</w:t>
      </w:r>
    </w:p>
    <w:p w14:paraId="13B10D94" w14:textId="1403C75B" w:rsidR="00842245" w:rsidRDefault="00842245" w:rsidP="00C80226">
      <w:pPr>
        <w:pStyle w:val="Zkladntext"/>
      </w:pPr>
      <w:r>
        <w:t>k) provádět před pořízením informačního systému veřejné správy nebo v rámci technického zhodnocení anebo rozvoje jimi spravovaného informačního systému veřejné správy hodnocení ekonomické výhodnosti jeho provozu.</w:t>
      </w:r>
    </w:p>
    <w:p w14:paraId="048B7FA4" w14:textId="0EED2CF9" w:rsidR="00842245" w:rsidRDefault="00842245" w:rsidP="00C80226">
      <w:pPr>
        <w:pStyle w:val="Zkladntext"/>
      </w:pPr>
      <w:r>
        <w:t xml:space="preserve">Podle §6o, odstave 4) </w:t>
      </w:r>
      <w:r w:rsidRPr="00842245">
        <w:t>Orgán veřejné správy připojí k</w:t>
      </w:r>
      <w:r>
        <w:t> </w:t>
      </w:r>
      <w:r w:rsidRPr="00842245">
        <w:t>požadavku</w:t>
      </w:r>
      <w:r>
        <w:t xml:space="preserve"> (</w:t>
      </w:r>
      <w:r>
        <w:rPr>
          <w:i/>
        </w:rPr>
        <w:t>na využití cloud computingu do katalogu cloud computingu)</w:t>
      </w:r>
      <w:r w:rsidRPr="00842245">
        <w:t> hodnocení ekonomické výhodnosti využití poptávaného cloud computingu.</w:t>
      </w:r>
    </w:p>
    <w:p w14:paraId="3E088FA1" w14:textId="1591605D" w:rsidR="00842245" w:rsidRPr="00842245" w:rsidRDefault="00842245" w:rsidP="00842245">
      <w:pPr>
        <w:pStyle w:val="Zkladntext"/>
      </w:pPr>
      <w:r>
        <w:t>Podle §12 (</w:t>
      </w:r>
      <w:r>
        <w:rPr>
          <w:i/>
        </w:rPr>
        <w:t xml:space="preserve">Zmocňovací ustanovení), </w:t>
      </w:r>
      <w:r>
        <w:t xml:space="preserve">odstavec 1), písmeno a) </w:t>
      </w:r>
      <w:r w:rsidRPr="00842245">
        <w:t>Ministerstvo stanoví vyhláškou</w:t>
      </w:r>
      <w:r>
        <w:t xml:space="preserve"> </w:t>
      </w:r>
      <w:r w:rsidRPr="00842245">
        <w:t xml:space="preserve">požadavky na strukturu a náležitosti hodnocení ekonomické výhodnosti způsobu provozu informačních systémů veřejné správy podle § 5 odst. 2 písm. j), hodnocení ekonomické výhodnosti provozu informačního systému veřejné správy podle § 5 odst. 2 písm. k) a hodnocení ekonomické výhodnosti využití poptávaného cloud computingu podle § 6o odst. </w:t>
      </w:r>
      <w:r>
        <w:t>4 a postup při jejich provádění.</w:t>
      </w:r>
    </w:p>
    <w:p w14:paraId="036B04C9" w14:textId="559F134E" w:rsidR="00335DE3" w:rsidRDefault="00335DE3" w:rsidP="00C80226">
      <w:pPr>
        <w:pStyle w:val="Nadpis3"/>
      </w:pPr>
      <w:bookmarkStart w:id="21" w:name="_Toc120784674"/>
      <w:r>
        <w:t>Povinnosti z prováděcí vyhlášky (</w:t>
      </w:r>
      <w:r w:rsidR="003D144B">
        <w:t xml:space="preserve">původně </w:t>
      </w:r>
      <w:r>
        <w:t>529)</w:t>
      </w:r>
      <w:bookmarkEnd w:id="21"/>
    </w:p>
    <w:p w14:paraId="72AA0E63" w14:textId="4E2F48FD" w:rsidR="00153478" w:rsidRDefault="00153478" w:rsidP="00C80226">
      <w:pPr>
        <w:pStyle w:val="Zkladntext"/>
      </w:pPr>
      <w:r>
        <w:t>Zákonné povinnosti upravuje vyhláška (yxz, aktuálně v MPŘ)</w:t>
      </w:r>
      <w:r w:rsidR="002A5C73">
        <w:t xml:space="preserve">, konkrétně její Hlava X, §32 - §34, viz </w:t>
      </w:r>
    </w:p>
    <w:p w14:paraId="7435A2F1" w14:textId="1E97593E" w:rsidR="00015C9C" w:rsidRDefault="00015C9C" w:rsidP="00C80226">
      <w:pPr>
        <w:pStyle w:val="Zkladntext"/>
      </w:pPr>
      <w:r>
        <w:t>Příloha</w:t>
      </w:r>
      <w:r w:rsidR="002A5C73">
        <w:t xml:space="preserve"> č. 3.</w:t>
      </w:r>
    </w:p>
    <w:p w14:paraId="2F47638F" w14:textId="615D9ACF" w:rsidR="002A5C73" w:rsidRDefault="002A5C73" w:rsidP="00C80226">
      <w:pPr>
        <w:pStyle w:val="Zkladntext"/>
      </w:pPr>
      <w:r>
        <w:t>Vyhláška mj. říká, že strukturu opakovaných (průběžných) hodnocení tvoří jak vyhodnocování TCO ISVS podle této metodiky, tak celkové vyhodnocování ukazatelů hospodárnosti, efektivnosti (účinnosti) a účelnosti ISVS za minulá období a jejich plán pro budoucí období.</w:t>
      </w:r>
    </w:p>
    <w:p w14:paraId="59F0FE25" w14:textId="07C00658" w:rsidR="002A5C73" w:rsidRDefault="002A5C73" w:rsidP="00C80226">
      <w:pPr>
        <w:pStyle w:val="Zkladntext"/>
      </w:pPr>
      <w:r>
        <w:t>OVS provádí vyhodnocení každoročně po skončení účetního období a získání údajů pro výpočty.</w:t>
      </w:r>
    </w:p>
    <w:p w14:paraId="6CC02034" w14:textId="7E265EC1" w:rsidR="002A5C73" w:rsidRDefault="002A5C73" w:rsidP="00C80226">
      <w:pPr>
        <w:pStyle w:val="Zkladntext"/>
      </w:pPr>
      <w:r>
        <w:t>Při každém pravidelné vyhodnocení provede OVS jak vyhodnocení celkové výše TCO, tak její porovnání s alespoň jednou variantou provozu odlišnou od provozu ve vlastním majetku (on premise), myslí se tím v cloudu.</w:t>
      </w:r>
    </w:p>
    <w:p w14:paraId="48B72E57" w14:textId="6745F2D7" w:rsidR="002A5C73" w:rsidRPr="00335DE3" w:rsidRDefault="002A5C73" w:rsidP="00C80226">
      <w:pPr>
        <w:pStyle w:val="Zkladntext"/>
      </w:pPr>
      <w:r>
        <w:t>Z toho plyne, že OVS pravidelně sbírá takové součásti struktury ukazatele TCO, aby mohl uplatnit nejméně dva způsoby vyhodnocení TCO ISVS, a to způsob 1 a 2, viz níže. V takovém případě se oba způsoby užití k sobě blíží, rozdíly mezi nimi se stírají a případná zjednodušení a úlevy pro způsob 2 se zde neuplatní.</w:t>
      </w:r>
    </w:p>
    <w:p w14:paraId="31DAA530" w14:textId="469790DF" w:rsidR="00DC49EA" w:rsidRPr="004E2B72" w:rsidRDefault="00DC49EA" w:rsidP="00073E78">
      <w:pPr>
        <w:pStyle w:val="Nadpis1"/>
        <w:jc w:val="both"/>
        <w:rPr>
          <w:rFonts w:cs="Arial"/>
        </w:rPr>
      </w:pPr>
      <w:bookmarkStart w:id="22" w:name="_Ref438115321"/>
      <w:bookmarkStart w:id="23" w:name="_Toc120784675"/>
      <w:r w:rsidRPr="004E2B72">
        <w:rPr>
          <w:rFonts w:cs="Arial"/>
        </w:rPr>
        <w:t xml:space="preserve">Způsoby využití </w:t>
      </w:r>
      <w:r w:rsidR="003D6E0A" w:rsidRPr="004E2B72">
        <w:rPr>
          <w:rFonts w:cs="Arial"/>
        </w:rPr>
        <w:t xml:space="preserve">ukazatele </w:t>
      </w:r>
      <w:r w:rsidRPr="004E2B72">
        <w:rPr>
          <w:rFonts w:cs="Arial"/>
        </w:rPr>
        <w:t>TCO</w:t>
      </w:r>
      <w:r w:rsidR="003D6E0A" w:rsidRPr="004E2B72">
        <w:rPr>
          <w:rFonts w:cs="Arial"/>
        </w:rPr>
        <w:t xml:space="preserve"> v řízení ICT</w:t>
      </w:r>
      <w:bookmarkEnd w:id="22"/>
      <w:r w:rsidR="003279EA" w:rsidRPr="004E2B72">
        <w:rPr>
          <w:rFonts w:cs="Arial"/>
        </w:rPr>
        <w:t xml:space="preserve"> VS</w:t>
      </w:r>
      <w:bookmarkEnd w:id="23"/>
    </w:p>
    <w:p w14:paraId="21825EE7" w14:textId="37422A54" w:rsidR="00E85A9B" w:rsidRPr="004E2B72" w:rsidRDefault="00DC49EA" w:rsidP="00073E78">
      <w:pPr>
        <w:tabs>
          <w:tab w:val="clear" w:pos="9072"/>
          <w:tab w:val="right" w:pos="9498"/>
        </w:tabs>
        <w:jc w:val="both"/>
        <w:rPr>
          <w:rFonts w:cs="Arial"/>
          <w:szCs w:val="22"/>
        </w:rPr>
      </w:pPr>
      <w:r w:rsidRPr="004E2B72">
        <w:rPr>
          <w:rFonts w:cs="Arial"/>
          <w:szCs w:val="22"/>
        </w:rPr>
        <w:t xml:space="preserve">Aktuálně jsou </w:t>
      </w:r>
      <w:r w:rsidR="00DB3405" w:rsidRPr="004E2B72">
        <w:rPr>
          <w:rFonts w:cs="Arial"/>
          <w:szCs w:val="22"/>
        </w:rPr>
        <w:t xml:space="preserve">pro podporu řízení informatiky </w:t>
      </w:r>
      <w:r w:rsidR="004D54E8" w:rsidRPr="004E2B72">
        <w:rPr>
          <w:rFonts w:cs="Arial"/>
          <w:szCs w:val="22"/>
        </w:rPr>
        <w:t xml:space="preserve">VS ČR </w:t>
      </w:r>
      <w:r w:rsidR="00DB3405" w:rsidRPr="004E2B72">
        <w:rPr>
          <w:rFonts w:cs="Arial"/>
          <w:szCs w:val="22"/>
        </w:rPr>
        <w:t>již uplatněn</w:t>
      </w:r>
      <w:r w:rsidR="00021AB4" w:rsidRPr="004E2B72">
        <w:rPr>
          <w:rFonts w:cs="Arial"/>
          <w:szCs w:val="22"/>
        </w:rPr>
        <w:t>y</w:t>
      </w:r>
      <w:r w:rsidR="00DB3405" w:rsidRPr="004E2B72">
        <w:rPr>
          <w:rFonts w:cs="Arial"/>
          <w:szCs w:val="22"/>
        </w:rPr>
        <w:t>, připrave</w:t>
      </w:r>
      <w:r w:rsidRPr="004E2B72">
        <w:rPr>
          <w:rFonts w:cs="Arial"/>
          <w:szCs w:val="22"/>
        </w:rPr>
        <w:t xml:space="preserve">ny </w:t>
      </w:r>
      <w:r w:rsidR="00DB3405" w:rsidRPr="004E2B72">
        <w:rPr>
          <w:rFonts w:cs="Arial"/>
          <w:szCs w:val="22"/>
        </w:rPr>
        <w:t>nebo doporučeny násl</w:t>
      </w:r>
      <w:r w:rsidR="00021AB4" w:rsidRPr="004E2B72">
        <w:rPr>
          <w:rFonts w:cs="Arial"/>
          <w:szCs w:val="22"/>
        </w:rPr>
        <w:t>e</w:t>
      </w:r>
      <w:r w:rsidR="00DB3405" w:rsidRPr="004E2B72">
        <w:rPr>
          <w:rFonts w:cs="Arial"/>
          <w:szCs w:val="22"/>
        </w:rPr>
        <w:t>dující</w:t>
      </w:r>
      <w:r w:rsidRPr="004E2B72">
        <w:rPr>
          <w:rFonts w:cs="Arial"/>
          <w:szCs w:val="22"/>
        </w:rPr>
        <w:t xml:space="preserve"> způsoby využití posuzování</w:t>
      </w:r>
      <w:r w:rsidR="00DB3405" w:rsidRPr="004E2B72">
        <w:rPr>
          <w:rFonts w:cs="Arial"/>
          <w:szCs w:val="22"/>
        </w:rPr>
        <w:t xml:space="preserve"> ukazatele </w:t>
      </w:r>
      <w:r w:rsidRPr="004E2B72">
        <w:rPr>
          <w:rFonts w:cs="Arial"/>
          <w:szCs w:val="22"/>
        </w:rPr>
        <w:t>TCO</w:t>
      </w:r>
      <w:r w:rsidR="00E85A9B" w:rsidRPr="004E2B72">
        <w:rPr>
          <w:rFonts w:cs="Arial"/>
          <w:szCs w:val="22"/>
        </w:rPr>
        <w:t>:</w:t>
      </w:r>
    </w:p>
    <w:p w14:paraId="2BFFE38D" w14:textId="769063B7" w:rsidR="00DC49EA" w:rsidRPr="004E2B72" w:rsidRDefault="00E85A9B" w:rsidP="00073E78">
      <w:pPr>
        <w:pStyle w:val="Odstavecseseznamem"/>
        <w:numPr>
          <w:ilvl w:val="0"/>
          <w:numId w:val="33"/>
        </w:numPr>
        <w:tabs>
          <w:tab w:val="clear" w:pos="284"/>
          <w:tab w:val="clear" w:pos="567"/>
          <w:tab w:val="clear" w:pos="851"/>
          <w:tab w:val="clear" w:pos="1134"/>
          <w:tab w:val="clear" w:pos="1418"/>
          <w:tab w:val="clear" w:pos="9072"/>
          <w:tab w:val="left" w:pos="709"/>
          <w:tab w:val="right" w:pos="9498"/>
        </w:tabs>
        <w:spacing w:before="80" w:after="0"/>
        <w:ind w:left="709" w:hanging="425"/>
        <w:contextualSpacing w:val="0"/>
        <w:jc w:val="both"/>
        <w:rPr>
          <w:rFonts w:cs="Arial"/>
          <w:szCs w:val="22"/>
        </w:rPr>
      </w:pPr>
      <w:r w:rsidRPr="004E2B72">
        <w:rPr>
          <w:rFonts w:cs="Arial"/>
          <w:szCs w:val="22"/>
        </w:rPr>
        <w:t>A</w:t>
      </w:r>
      <w:r w:rsidR="00DC49EA" w:rsidRPr="004E2B72">
        <w:rPr>
          <w:rFonts w:cs="Arial"/>
          <w:szCs w:val="22"/>
        </w:rPr>
        <w:t xml:space="preserve">nalýza a porovnání </w:t>
      </w:r>
      <w:r w:rsidR="00874AA4">
        <w:rPr>
          <w:rFonts w:cs="Arial"/>
          <w:szCs w:val="22"/>
        </w:rPr>
        <w:t xml:space="preserve">stávajících a </w:t>
      </w:r>
      <w:r w:rsidR="00F63B0C" w:rsidRPr="004E2B72">
        <w:rPr>
          <w:rFonts w:cs="Arial"/>
          <w:szCs w:val="22"/>
        </w:rPr>
        <w:t xml:space="preserve">minulých celkových </w:t>
      </w:r>
      <w:r w:rsidR="00DC49EA" w:rsidRPr="004E2B72">
        <w:rPr>
          <w:rFonts w:cs="Arial"/>
          <w:szCs w:val="22"/>
        </w:rPr>
        <w:t>nákladů na stávající informační systémy</w:t>
      </w:r>
      <w:r w:rsidR="00874AA4">
        <w:rPr>
          <w:rFonts w:cs="Arial"/>
          <w:szCs w:val="22"/>
        </w:rPr>
        <w:t xml:space="preserve"> jednoho správce i porovnání</w:t>
      </w:r>
      <w:r w:rsidR="00DC49EA" w:rsidRPr="004E2B72">
        <w:rPr>
          <w:rFonts w:cs="Arial"/>
          <w:szCs w:val="22"/>
        </w:rPr>
        <w:t xml:space="preserve"> napříč </w:t>
      </w:r>
      <w:r w:rsidR="00874AA4">
        <w:rPr>
          <w:rFonts w:cs="Arial"/>
          <w:szCs w:val="22"/>
        </w:rPr>
        <w:t>srovnatelnými úřady veřejné správy</w:t>
      </w:r>
      <w:r w:rsidR="00DC49EA" w:rsidRPr="004E2B72">
        <w:rPr>
          <w:rFonts w:cs="Arial"/>
          <w:szCs w:val="22"/>
        </w:rPr>
        <w:t xml:space="preserve">, tj. </w:t>
      </w:r>
      <w:r w:rsidR="00DB3405" w:rsidRPr="004E2B72">
        <w:rPr>
          <w:rFonts w:cs="Arial"/>
          <w:szCs w:val="22"/>
        </w:rPr>
        <w:t xml:space="preserve">benchmarking mezi </w:t>
      </w:r>
      <w:r w:rsidR="00DC49EA" w:rsidRPr="004E2B72">
        <w:rPr>
          <w:rFonts w:cs="Arial"/>
          <w:szCs w:val="22"/>
        </w:rPr>
        <w:t>kapitolami a ústředními správními úřady</w:t>
      </w:r>
      <w:r w:rsidR="00F63B0C" w:rsidRPr="004E2B72">
        <w:rPr>
          <w:rFonts w:cs="Arial"/>
          <w:szCs w:val="22"/>
        </w:rPr>
        <w:t>,</w:t>
      </w:r>
      <w:r w:rsidR="00874AA4">
        <w:rPr>
          <w:rFonts w:cs="Arial"/>
          <w:szCs w:val="22"/>
        </w:rPr>
        <w:t xml:space="preserve"> či mezi úřady samosprávných celků, </w:t>
      </w:r>
      <w:r w:rsidR="00F63B0C" w:rsidRPr="004E2B72">
        <w:rPr>
          <w:rFonts w:cs="Arial"/>
          <w:szCs w:val="22"/>
        </w:rPr>
        <w:t xml:space="preserve">kap. </w:t>
      </w:r>
      <w:r w:rsidR="00F63B0C" w:rsidRPr="004E2B72">
        <w:rPr>
          <w:rFonts w:cs="Arial"/>
          <w:szCs w:val="22"/>
        </w:rPr>
        <w:fldChar w:fldCharType="begin"/>
      </w:r>
      <w:r w:rsidR="00F63B0C" w:rsidRPr="004E2B72">
        <w:rPr>
          <w:rFonts w:cs="Arial"/>
          <w:szCs w:val="22"/>
        </w:rPr>
        <w:instrText xml:space="preserve"> REF _Ref115780519 \r \h </w:instrText>
      </w:r>
      <w:r w:rsidR="004E2B72">
        <w:rPr>
          <w:rFonts w:cs="Arial"/>
          <w:szCs w:val="22"/>
        </w:rPr>
        <w:instrText xml:space="preserve"> \* MERGEFORMAT </w:instrText>
      </w:r>
      <w:r w:rsidR="00F63B0C" w:rsidRPr="004E2B72">
        <w:rPr>
          <w:rFonts w:cs="Arial"/>
          <w:szCs w:val="22"/>
        </w:rPr>
      </w:r>
      <w:r w:rsidR="00F63B0C" w:rsidRPr="004E2B72">
        <w:rPr>
          <w:rFonts w:cs="Arial"/>
          <w:szCs w:val="22"/>
        </w:rPr>
        <w:fldChar w:fldCharType="separate"/>
      </w:r>
      <w:r w:rsidR="00F63B0C" w:rsidRPr="004E2B72">
        <w:rPr>
          <w:rFonts w:cs="Arial"/>
          <w:szCs w:val="22"/>
        </w:rPr>
        <w:t>3.1</w:t>
      </w:r>
      <w:r w:rsidR="00F63B0C" w:rsidRPr="004E2B72">
        <w:rPr>
          <w:rFonts w:cs="Arial"/>
          <w:szCs w:val="22"/>
        </w:rPr>
        <w:fldChar w:fldCharType="end"/>
      </w:r>
    </w:p>
    <w:p w14:paraId="7AB1F40A" w14:textId="554EEB37" w:rsidR="00E85A9B" w:rsidRPr="004E2B72" w:rsidRDefault="00021AB4" w:rsidP="00073E78">
      <w:pPr>
        <w:pStyle w:val="Odstavecseseznamem"/>
        <w:numPr>
          <w:ilvl w:val="0"/>
          <w:numId w:val="33"/>
        </w:numPr>
        <w:tabs>
          <w:tab w:val="clear" w:pos="284"/>
          <w:tab w:val="clear" w:pos="567"/>
          <w:tab w:val="clear" w:pos="851"/>
          <w:tab w:val="clear" w:pos="1134"/>
          <w:tab w:val="clear" w:pos="1418"/>
          <w:tab w:val="clear" w:pos="9072"/>
          <w:tab w:val="left" w:pos="709"/>
          <w:tab w:val="right" w:pos="9498"/>
        </w:tabs>
        <w:spacing w:before="80" w:after="0"/>
        <w:ind w:left="709" w:hanging="425"/>
        <w:contextualSpacing w:val="0"/>
        <w:jc w:val="both"/>
        <w:rPr>
          <w:rFonts w:cs="Arial"/>
          <w:szCs w:val="22"/>
        </w:rPr>
      </w:pPr>
      <w:r w:rsidRPr="004E2B72">
        <w:rPr>
          <w:rFonts w:cs="Arial"/>
          <w:szCs w:val="22"/>
        </w:rPr>
        <w:t>Z</w:t>
      </w:r>
      <w:r w:rsidR="00DC49EA" w:rsidRPr="004E2B72">
        <w:rPr>
          <w:rFonts w:cs="Arial"/>
          <w:szCs w:val="22"/>
        </w:rPr>
        <w:t xml:space="preserve">jišťování efektivity investice </w:t>
      </w:r>
      <w:r w:rsidR="00874AA4">
        <w:rPr>
          <w:rFonts w:cs="Arial"/>
          <w:szCs w:val="22"/>
        </w:rPr>
        <w:t xml:space="preserve">mezi </w:t>
      </w:r>
      <w:r w:rsidR="001F06F8" w:rsidRPr="004E2B72">
        <w:rPr>
          <w:rFonts w:cs="Arial"/>
          <w:szCs w:val="22"/>
        </w:rPr>
        <w:t xml:space="preserve">více </w:t>
      </w:r>
      <w:r w:rsidR="00DC49EA" w:rsidRPr="004E2B72">
        <w:rPr>
          <w:rFonts w:cs="Arial"/>
          <w:szCs w:val="22"/>
        </w:rPr>
        <w:t>v</w:t>
      </w:r>
      <w:r w:rsidRPr="004E2B72">
        <w:rPr>
          <w:rFonts w:cs="Arial"/>
          <w:szCs w:val="22"/>
        </w:rPr>
        <w:t>ariant</w:t>
      </w:r>
      <w:r w:rsidR="00874AA4">
        <w:rPr>
          <w:rFonts w:cs="Arial"/>
          <w:szCs w:val="22"/>
        </w:rPr>
        <w:t>ami</w:t>
      </w:r>
      <w:r w:rsidRPr="004E2B72">
        <w:rPr>
          <w:rFonts w:cs="Arial"/>
          <w:szCs w:val="22"/>
        </w:rPr>
        <w:t xml:space="preserve"> řešení u</w:t>
      </w:r>
      <w:r w:rsidR="00DC49EA" w:rsidRPr="004E2B72">
        <w:rPr>
          <w:rFonts w:cs="Arial"/>
          <w:szCs w:val="22"/>
        </w:rPr>
        <w:t xml:space="preserve"> nově </w:t>
      </w:r>
      <w:r w:rsidRPr="004E2B72">
        <w:rPr>
          <w:rFonts w:cs="Arial"/>
          <w:szCs w:val="22"/>
        </w:rPr>
        <w:t>plánovaných</w:t>
      </w:r>
      <w:r w:rsidR="00DC49EA" w:rsidRPr="004E2B72">
        <w:rPr>
          <w:rFonts w:cs="Arial"/>
          <w:szCs w:val="22"/>
        </w:rPr>
        <w:t xml:space="preserve"> ICT projekt</w:t>
      </w:r>
      <w:r w:rsidRPr="004E2B72">
        <w:rPr>
          <w:rFonts w:cs="Arial"/>
          <w:szCs w:val="22"/>
        </w:rPr>
        <w:t>ů</w:t>
      </w:r>
      <w:r w:rsidR="00F63B0C" w:rsidRPr="004E2B72">
        <w:rPr>
          <w:rFonts w:cs="Arial"/>
          <w:szCs w:val="22"/>
        </w:rPr>
        <w:t xml:space="preserve">, včetně </w:t>
      </w:r>
      <w:r w:rsidR="00251001" w:rsidRPr="004E2B72">
        <w:rPr>
          <w:rFonts w:cs="Arial"/>
          <w:szCs w:val="22"/>
        </w:rPr>
        <w:t>porovnání nákladů stávajícího řešení ICT služby s náklady řešení ICT služby prostřednictvím eGovernment C</w:t>
      </w:r>
      <w:r w:rsidR="00631010" w:rsidRPr="004E2B72">
        <w:rPr>
          <w:rFonts w:cs="Arial"/>
          <w:szCs w:val="22"/>
        </w:rPr>
        <w:t>loudu</w:t>
      </w:r>
      <w:r w:rsidR="00874AA4">
        <w:rPr>
          <w:rFonts w:cs="Arial"/>
          <w:szCs w:val="22"/>
        </w:rPr>
        <w:t xml:space="preserve"> nebo centrální sdílené služby</w:t>
      </w:r>
      <w:r w:rsidR="00631010" w:rsidRPr="004E2B72">
        <w:rPr>
          <w:rFonts w:cs="Arial"/>
          <w:szCs w:val="22"/>
        </w:rPr>
        <w:t>,</w:t>
      </w:r>
      <w:r w:rsidR="00251001" w:rsidRPr="004E2B72">
        <w:rPr>
          <w:rFonts w:cs="Arial"/>
          <w:szCs w:val="22"/>
        </w:rPr>
        <w:t xml:space="preserve"> nebo </w:t>
      </w:r>
      <w:r w:rsidR="00F63B0C" w:rsidRPr="004E2B72">
        <w:rPr>
          <w:rFonts w:cs="Arial"/>
          <w:szCs w:val="22"/>
        </w:rPr>
        <w:t xml:space="preserve">porovnání variant při různých bezpečnostních úrovních (BÚ), kap. </w:t>
      </w:r>
      <w:r w:rsidR="00F63B0C" w:rsidRPr="004E2B72">
        <w:rPr>
          <w:rFonts w:cs="Arial"/>
          <w:szCs w:val="22"/>
        </w:rPr>
        <w:fldChar w:fldCharType="begin"/>
      </w:r>
      <w:r w:rsidR="00F63B0C" w:rsidRPr="004E2B72">
        <w:rPr>
          <w:rFonts w:cs="Arial"/>
          <w:szCs w:val="22"/>
        </w:rPr>
        <w:instrText xml:space="preserve"> REF _Ref115780534 \r \h </w:instrText>
      </w:r>
      <w:r w:rsidR="004E2B72">
        <w:rPr>
          <w:rFonts w:cs="Arial"/>
          <w:szCs w:val="22"/>
        </w:rPr>
        <w:instrText xml:space="preserve"> \* MERGEFORMAT </w:instrText>
      </w:r>
      <w:r w:rsidR="00F63B0C" w:rsidRPr="004E2B72">
        <w:rPr>
          <w:rFonts w:cs="Arial"/>
          <w:szCs w:val="22"/>
        </w:rPr>
      </w:r>
      <w:r w:rsidR="00F63B0C" w:rsidRPr="004E2B72">
        <w:rPr>
          <w:rFonts w:cs="Arial"/>
          <w:szCs w:val="22"/>
        </w:rPr>
        <w:fldChar w:fldCharType="separate"/>
      </w:r>
      <w:r w:rsidR="00F63B0C" w:rsidRPr="004E2B72">
        <w:rPr>
          <w:rFonts w:cs="Arial"/>
          <w:szCs w:val="22"/>
        </w:rPr>
        <w:t>3.2</w:t>
      </w:r>
      <w:r w:rsidR="00F63B0C" w:rsidRPr="004E2B72">
        <w:rPr>
          <w:rFonts w:cs="Arial"/>
          <w:szCs w:val="22"/>
        </w:rPr>
        <w:fldChar w:fldCharType="end"/>
      </w:r>
      <w:r w:rsidR="00F63B0C" w:rsidRPr="004E2B72">
        <w:rPr>
          <w:rFonts w:cs="Arial"/>
          <w:szCs w:val="22"/>
        </w:rPr>
        <w:t>.</w:t>
      </w:r>
    </w:p>
    <w:p w14:paraId="1C5B5F4C" w14:textId="73A8D2CE" w:rsidR="00021AB4" w:rsidRPr="004E2B72" w:rsidRDefault="001F06F8" w:rsidP="00073E78">
      <w:pPr>
        <w:pStyle w:val="Odstavecseseznamem"/>
        <w:numPr>
          <w:ilvl w:val="0"/>
          <w:numId w:val="33"/>
        </w:numPr>
        <w:tabs>
          <w:tab w:val="clear" w:pos="284"/>
          <w:tab w:val="clear" w:pos="567"/>
          <w:tab w:val="clear" w:pos="851"/>
          <w:tab w:val="clear" w:pos="1134"/>
          <w:tab w:val="clear" w:pos="1418"/>
          <w:tab w:val="clear" w:pos="9072"/>
          <w:tab w:val="left" w:pos="709"/>
          <w:tab w:val="right" w:pos="9498"/>
        </w:tabs>
        <w:spacing w:before="80" w:after="0"/>
        <w:ind w:left="709" w:hanging="425"/>
        <w:contextualSpacing w:val="0"/>
        <w:jc w:val="both"/>
        <w:rPr>
          <w:rFonts w:cs="Arial"/>
          <w:szCs w:val="22"/>
        </w:rPr>
      </w:pPr>
      <w:r w:rsidRPr="004E2B72">
        <w:rPr>
          <w:rFonts w:cs="Arial"/>
          <w:szCs w:val="22"/>
        </w:rPr>
        <w:t>Ekonomická náročnost</w:t>
      </w:r>
      <w:r w:rsidR="00021AB4" w:rsidRPr="004E2B72">
        <w:rPr>
          <w:rFonts w:cs="Arial"/>
          <w:szCs w:val="22"/>
        </w:rPr>
        <w:t xml:space="preserve"> v Žádosti o stanovisko OHA k ICT projektu</w:t>
      </w:r>
      <w:r w:rsidR="00F63B0C" w:rsidRPr="004E2B72">
        <w:rPr>
          <w:rFonts w:cs="Arial"/>
          <w:szCs w:val="22"/>
        </w:rPr>
        <w:t>, kap</w:t>
      </w:r>
      <w:r w:rsidR="009B3AE2" w:rsidRPr="004E2B72">
        <w:rPr>
          <w:rFonts w:cs="Arial"/>
          <w:szCs w:val="22"/>
        </w:rPr>
        <w:t>.</w:t>
      </w:r>
      <w:r w:rsidR="00F63B0C" w:rsidRPr="004E2B72">
        <w:rPr>
          <w:rFonts w:cs="Arial"/>
          <w:szCs w:val="22"/>
        </w:rPr>
        <w:t xml:space="preserve"> </w:t>
      </w:r>
      <w:r w:rsidR="00F63B0C" w:rsidRPr="004E2B72">
        <w:rPr>
          <w:rFonts w:cs="Arial"/>
          <w:szCs w:val="22"/>
        </w:rPr>
        <w:fldChar w:fldCharType="begin"/>
      </w:r>
      <w:r w:rsidR="00F63B0C" w:rsidRPr="004E2B72">
        <w:rPr>
          <w:rFonts w:cs="Arial"/>
          <w:szCs w:val="22"/>
        </w:rPr>
        <w:instrText xml:space="preserve"> REF _Ref115780565 \r \h </w:instrText>
      </w:r>
      <w:r w:rsidR="004E2B72">
        <w:rPr>
          <w:rFonts w:cs="Arial"/>
          <w:szCs w:val="22"/>
        </w:rPr>
        <w:instrText xml:space="preserve"> \* MERGEFORMAT </w:instrText>
      </w:r>
      <w:r w:rsidR="00F63B0C" w:rsidRPr="004E2B72">
        <w:rPr>
          <w:rFonts w:cs="Arial"/>
          <w:szCs w:val="22"/>
        </w:rPr>
      </w:r>
      <w:r w:rsidR="00F63B0C" w:rsidRPr="004E2B72">
        <w:rPr>
          <w:rFonts w:cs="Arial"/>
          <w:szCs w:val="22"/>
        </w:rPr>
        <w:fldChar w:fldCharType="separate"/>
      </w:r>
      <w:r w:rsidR="00F63B0C" w:rsidRPr="004E2B72">
        <w:rPr>
          <w:rFonts w:cs="Arial"/>
          <w:szCs w:val="22"/>
        </w:rPr>
        <w:t>3.3</w:t>
      </w:r>
      <w:r w:rsidR="00F63B0C" w:rsidRPr="004E2B72">
        <w:rPr>
          <w:rFonts w:cs="Arial"/>
          <w:szCs w:val="22"/>
        </w:rPr>
        <w:fldChar w:fldCharType="end"/>
      </w:r>
    </w:p>
    <w:p w14:paraId="3A178872" w14:textId="2A3CC91C" w:rsidR="00021AB4" w:rsidRPr="004E2B72" w:rsidRDefault="007F7162" w:rsidP="00073E78">
      <w:pPr>
        <w:pStyle w:val="Odstavecseseznamem"/>
        <w:numPr>
          <w:ilvl w:val="0"/>
          <w:numId w:val="33"/>
        </w:numPr>
        <w:tabs>
          <w:tab w:val="clear" w:pos="284"/>
          <w:tab w:val="clear" w:pos="567"/>
          <w:tab w:val="clear" w:pos="851"/>
          <w:tab w:val="clear" w:pos="1134"/>
          <w:tab w:val="clear" w:pos="1418"/>
          <w:tab w:val="clear" w:pos="9072"/>
          <w:tab w:val="left" w:pos="709"/>
          <w:tab w:val="right" w:pos="9498"/>
        </w:tabs>
        <w:spacing w:before="80" w:after="0"/>
        <w:ind w:left="709" w:hanging="425"/>
        <w:contextualSpacing w:val="0"/>
        <w:jc w:val="both"/>
        <w:rPr>
          <w:rFonts w:cs="Arial"/>
          <w:szCs w:val="22"/>
        </w:rPr>
      </w:pPr>
      <w:r w:rsidRPr="004E2B72">
        <w:rPr>
          <w:rFonts w:cs="Arial"/>
          <w:szCs w:val="22"/>
        </w:rPr>
        <w:t>Rozvoj controllingu ICT služeb veřejné správy</w:t>
      </w:r>
      <w:r w:rsidR="00F63B0C" w:rsidRPr="004E2B72">
        <w:rPr>
          <w:rFonts w:cs="Arial"/>
          <w:szCs w:val="22"/>
        </w:rPr>
        <w:t>, tj. řízení (snižování) nákladů ICT</w:t>
      </w:r>
      <w:r w:rsidRPr="004E2B72">
        <w:rPr>
          <w:rFonts w:cs="Arial"/>
          <w:szCs w:val="22"/>
        </w:rPr>
        <w:t>.</w:t>
      </w:r>
    </w:p>
    <w:p w14:paraId="78FBF522" w14:textId="615FEFCA" w:rsidR="00F63B0C" w:rsidRPr="004E2B72" w:rsidRDefault="00874AA4" w:rsidP="00073E78">
      <w:pPr>
        <w:pStyle w:val="Odstavecseseznamem"/>
        <w:numPr>
          <w:ilvl w:val="0"/>
          <w:numId w:val="33"/>
        </w:numPr>
        <w:tabs>
          <w:tab w:val="clear" w:pos="284"/>
          <w:tab w:val="clear" w:pos="567"/>
          <w:tab w:val="clear" w:pos="851"/>
          <w:tab w:val="clear" w:pos="1134"/>
          <w:tab w:val="clear" w:pos="1418"/>
          <w:tab w:val="clear" w:pos="9072"/>
          <w:tab w:val="left" w:pos="709"/>
          <w:tab w:val="right" w:pos="9498"/>
        </w:tabs>
        <w:spacing w:before="80" w:after="0"/>
        <w:ind w:left="709" w:hanging="425"/>
        <w:contextualSpacing w:val="0"/>
        <w:jc w:val="both"/>
        <w:rPr>
          <w:rFonts w:cs="Arial"/>
          <w:szCs w:val="22"/>
        </w:rPr>
      </w:pPr>
      <w:r>
        <w:rPr>
          <w:rFonts w:cs="Arial"/>
          <w:szCs w:val="22"/>
        </w:rPr>
        <w:t>Plánování nákladů, vč. s</w:t>
      </w:r>
      <w:r w:rsidR="00F63B0C" w:rsidRPr="004E2B72">
        <w:rPr>
          <w:rFonts w:cs="Arial"/>
          <w:szCs w:val="22"/>
        </w:rPr>
        <w:t>tanovování ICT rozpočtu, zejména jeho tzv. „mandatorní části“</w:t>
      </w:r>
      <w:r>
        <w:rPr>
          <w:rFonts w:cs="Arial"/>
          <w:szCs w:val="22"/>
        </w:rPr>
        <w:t xml:space="preserve"> a tvorby fondu obnovy</w:t>
      </w:r>
      <w:r w:rsidR="00F63B0C" w:rsidRPr="004E2B72">
        <w:rPr>
          <w:rFonts w:cs="Arial"/>
          <w:szCs w:val="22"/>
        </w:rPr>
        <w:t>.</w:t>
      </w:r>
    </w:p>
    <w:p w14:paraId="1BEF88B7" w14:textId="0F583190" w:rsidR="00F63B0C" w:rsidRDefault="00F63B0C" w:rsidP="00073E78">
      <w:pPr>
        <w:pStyle w:val="Odstavecseseznamem"/>
        <w:numPr>
          <w:ilvl w:val="0"/>
          <w:numId w:val="33"/>
        </w:numPr>
        <w:tabs>
          <w:tab w:val="clear" w:pos="284"/>
          <w:tab w:val="clear" w:pos="567"/>
          <w:tab w:val="clear" w:pos="851"/>
          <w:tab w:val="clear" w:pos="1134"/>
          <w:tab w:val="clear" w:pos="1418"/>
          <w:tab w:val="clear" w:pos="9072"/>
          <w:tab w:val="left" w:pos="709"/>
          <w:tab w:val="right" w:pos="9498"/>
        </w:tabs>
        <w:spacing w:before="80" w:after="0"/>
        <w:ind w:left="709" w:hanging="425"/>
        <w:contextualSpacing w:val="0"/>
        <w:jc w:val="both"/>
        <w:rPr>
          <w:rFonts w:cs="Arial"/>
          <w:szCs w:val="22"/>
        </w:rPr>
      </w:pPr>
      <w:r w:rsidRPr="004E2B72">
        <w:rPr>
          <w:rFonts w:cs="Arial"/>
          <w:szCs w:val="22"/>
        </w:rPr>
        <w:t>Výběr dodavatele řešení komplexním přístupem k ceně dle TCO.</w:t>
      </w:r>
    </w:p>
    <w:p w14:paraId="457213BD" w14:textId="556362C9" w:rsidR="00874AA4" w:rsidRDefault="00874AA4" w:rsidP="00073E78">
      <w:pPr>
        <w:pStyle w:val="Odstavecseseznamem"/>
        <w:numPr>
          <w:ilvl w:val="0"/>
          <w:numId w:val="33"/>
        </w:numPr>
        <w:tabs>
          <w:tab w:val="clear" w:pos="284"/>
          <w:tab w:val="clear" w:pos="567"/>
          <w:tab w:val="clear" w:pos="851"/>
          <w:tab w:val="clear" w:pos="1134"/>
          <w:tab w:val="clear" w:pos="1418"/>
          <w:tab w:val="clear" w:pos="9072"/>
          <w:tab w:val="left" w:pos="709"/>
          <w:tab w:val="right" w:pos="9498"/>
        </w:tabs>
        <w:spacing w:before="80" w:after="0"/>
        <w:ind w:left="709" w:hanging="425"/>
        <w:contextualSpacing w:val="0"/>
        <w:jc w:val="both"/>
        <w:rPr>
          <w:rFonts w:cs="Arial"/>
          <w:szCs w:val="22"/>
        </w:rPr>
      </w:pPr>
      <w:r>
        <w:rPr>
          <w:rFonts w:cs="Arial"/>
          <w:szCs w:val="22"/>
        </w:rPr>
        <w:t>Kalkulace nákladů, resp. ceny jednotky produkce, např. jednoho produktivního roku jednoho celého systému nebo jeho dílčí služby.</w:t>
      </w:r>
    </w:p>
    <w:p w14:paraId="41ABF93A" w14:textId="2E8EC461" w:rsidR="000E431A" w:rsidRDefault="00984836" w:rsidP="00C80226">
      <w:pPr>
        <w:pStyle w:val="Odstavecseseznamem"/>
        <w:numPr>
          <w:ilvl w:val="0"/>
          <w:numId w:val="33"/>
        </w:numPr>
        <w:tabs>
          <w:tab w:val="clear" w:pos="284"/>
          <w:tab w:val="clear" w:pos="567"/>
          <w:tab w:val="clear" w:pos="851"/>
          <w:tab w:val="clear" w:pos="1134"/>
          <w:tab w:val="clear" w:pos="1418"/>
          <w:tab w:val="clear" w:pos="9072"/>
          <w:tab w:val="left" w:pos="709"/>
          <w:tab w:val="right" w:pos="9498"/>
        </w:tabs>
        <w:spacing w:before="80" w:after="0"/>
        <w:ind w:left="709" w:hanging="425"/>
        <w:contextualSpacing w:val="0"/>
        <w:jc w:val="both"/>
        <w:rPr>
          <w:rFonts w:cs="Arial"/>
          <w:szCs w:val="22"/>
        </w:rPr>
      </w:pPr>
      <w:r w:rsidRPr="00C80226">
        <w:rPr>
          <w:rFonts w:cs="Arial"/>
          <w:szCs w:val="22"/>
          <w:highlight w:val="yellow"/>
        </w:rPr>
        <w:t>Plánování kapacit</w:t>
      </w:r>
      <w:r w:rsidR="000E431A" w:rsidRPr="00C80226">
        <w:rPr>
          <w:rFonts w:cs="Arial"/>
          <w:szCs w:val="22"/>
          <w:highlight w:val="yellow"/>
        </w:rPr>
        <w:t xml:space="preserve"> j</w:t>
      </w:r>
      <w:r w:rsidR="000505F6" w:rsidRPr="00C80226">
        <w:rPr>
          <w:rFonts w:cs="Arial"/>
          <w:szCs w:val="22"/>
          <w:highlight w:val="yellow"/>
        </w:rPr>
        <w:t xml:space="preserve">ednotlivých rolí v ICT </w:t>
      </w:r>
      <w:commentRangeStart w:id="24"/>
      <w:r w:rsidR="000505F6" w:rsidRPr="00C80226">
        <w:rPr>
          <w:rFonts w:cs="Arial"/>
          <w:szCs w:val="22"/>
          <w:highlight w:val="yellow"/>
        </w:rPr>
        <w:t>útvarech</w:t>
      </w:r>
      <w:commentRangeEnd w:id="24"/>
      <w:r w:rsidR="000505F6">
        <w:rPr>
          <w:rStyle w:val="Odkaznakoment"/>
        </w:rPr>
        <w:commentReference w:id="24"/>
      </w:r>
      <w:r w:rsidR="000505F6" w:rsidRPr="00C80226">
        <w:rPr>
          <w:rFonts w:cs="Arial"/>
          <w:szCs w:val="22"/>
          <w:highlight w:val="yellow"/>
        </w:rPr>
        <w:t>.</w:t>
      </w:r>
    </w:p>
    <w:p w14:paraId="60D1AAD5" w14:textId="47F377B9" w:rsidR="00984836" w:rsidRPr="00C80226" w:rsidRDefault="000E431A" w:rsidP="00C80226">
      <w:pPr>
        <w:pStyle w:val="Odstavecseseznamem"/>
        <w:numPr>
          <w:ilvl w:val="0"/>
          <w:numId w:val="33"/>
        </w:numPr>
        <w:tabs>
          <w:tab w:val="clear" w:pos="284"/>
          <w:tab w:val="clear" w:pos="567"/>
          <w:tab w:val="clear" w:pos="851"/>
          <w:tab w:val="clear" w:pos="1134"/>
          <w:tab w:val="clear" w:pos="1418"/>
          <w:tab w:val="clear" w:pos="9072"/>
          <w:tab w:val="left" w:pos="709"/>
          <w:tab w:val="right" w:pos="9498"/>
        </w:tabs>
        <w:spacing w:before="80" w:after="0"/>
        <w:ind w:left="709" w:hanging="425"/>
        <w:contextualSpacing w:val="0"/>
        <w:jc w:val="both"/>
        <w:rPr>
          <w:rFonts w:cs="Arial"/>
          <w:szCs w:val="22"/>
        </w:rPr>
      </w:pPr>
      <w:r>
        <w:rPr>
          <w:rFonts w:cs="Arial"/>
          <w:szCs w:val="22"/>
        </w:rPr>
        <w:t>P</w:t>
      </w:r>
      <w:r w:rsidRPr="00C80226">
        <w:rPr>
          <w:rFonts w:cs="Arial"/>
          <w:szCs w:val="22"/>
        </w:rPr>
        <w:t>osouzení výhodnosti ISVS (investiční záměr, BC, CBA, Public-ROI</w:t>
      </w:r>
      <w:r>
        <w:rPr>
          <w:rFonts w:cs="Arial"/>
          <w:szCs w:val="22"/>
        </w:rPr>
        <w:t>)</w:t>
      </w:r>
      <w:r w:rsidRPr="00C80226">
        <w:rPr>
          <w:rFonts w:cs="Arial"/>
          <w:szCs w:val="22"/>
        </w:rPr>
        <w:t>.</w:t>
      </w:r>
    </w:p>
    <w:p w14:paraId="6020F3E8" w14:textId="77777777" w:rsidR="00874AA4" w:rsidRDefault="00874AA4" w:rsidP="00073E78">
      <w:pPr>
        <w:tabs>
          <w:tab w:val="clear" w:pos="9072"/>
          <w:tab w:val="right" w:pos="9498"/>
        </w:tabs>
        <w:jc w:val="both"/>
        <w:rPr>
          <w:rFonts w:cs="Arial"/>
          <w:szCs w:val="22"/>
        </w:rPr>
      </w:pPr>
    </w:p>
    <w:p w14:paraId="12C96C25" w14:textId="1C4E4869" w:rsidR="00DC49EA" w:rsidRPr="004E2B72" w:rsidRDefault="00DC49EA" w:rsidP="00073E78">
      <w:pPr>
        <w:tabs>
          <w:tab w:val="clear" w:pos="9072"/>
          <w:tab w:val="right" w:pos="9498"/>
        </w:tabs>
        <w:jc w:val="both"/>
        <w:rPr>
          <w:rFonts w:cs="Arial"/>
          <w:szCs w:val="22"/>
        </w:rPr>
      </w:pPr>
      <w:r w:rsidRPr="004E2B72">
        <w:rPr>
          <w:rFonts w:cs="Arial"/>
          <w:szCs w:val="22"/>
        </w:rPr>
        <w:t>V </w:t>
      </w:r>
      <w:r w:rsidR="00021AB4" w:rsidRPr="004E2B72">
        <w:rPr>
          <w:rFonts w:cs="Arial"/>
          <w:szCs w:val="22"/>
        </w:rPr>
        <w:t>těchto</w:t>
      </w:r>
      <w:r w:rsidRPr="004E2B72">
        <w:rPr>
          <w:rFonts w:cs="Arial"/>
          <w:szCs w:val="22"/>
        </w:rPr>
        <w:t xml:space="preserve"> případech se metodika šetření TCO uplatní odlišně, přičemž rozdíly jsou zejména v počtu srovnávaných</w:t>
      </w:r>
      <w:r w:rsidR="002204AA">
        <w:rPr>
          <w:rFonts w:cs="Arial"/>
          <w:szCs w:val="22"/>
        </w:rPr>
        <w:t xml:space="preserve"> systémů</w:t>
      </w:r>
      <w:r w:rsidRPr="004E2B72">
        <w:rPr>
          <w:rFonts w:cs="Arial"/>
          <w:szCs w:val="22"/>
        </w:rPr>
        <w:t xml:space="preserve"> (řešení), </w:t>
      </w:r>
      <w:r w:rsidR="00021AB4" w:rsidRPr="004E2B72">
        <w:rPr>
          <w:rFonts w:cs="Arial"/>
          <w:szCs w:val="22"/>
        </w:rPr>
        <w:t xml:space="preserve">v pohledu zpět versus </w:t>
      </w:r>
      <w:r w:rsidR="007774A0" w:rsidRPr="004E2B72">
        <w:rPr>
          <w:rFonts w:cs="Arial"/>
          <w:szCs w:val="22"/>
        </w:rPr>
        <w:t xml:space="preserve">v </w:t>
      </w:r>
      <w:r w:rsidR="00021AB4" w:rsidRPr="004E2B72">
        <w:rPr>
          <w:rFonts w:cs="Arial"/>
          <w:szCs w:val="22"/>
        </w:rPr>
        <w:t xml:space="preserve">plánu dopředu, v délce srovnávaného období, </w:t>
      </w:r>
      <w:r w:rsidRPr="004E2B72">
        <w:rPr>
          <w:rFonts w:cs="Arial"/>
          <w:szCs w:val="22"/>
        </w:rPr>
        <w:t>ve z toho plynoucí potřeb</w:t>
      </w:r>
      <w:r w:rsidR="00021AB4" w:rsidRPr="004E2B72">
        <w:rPr>
          <w:rFonts w:cs="Arial"/>
          <w:szCs w:val="22"/>
        </w:rPr>
        <w:t>ě</w:t>
      </w:r>
      <w:r w:rsidRPr="004E2B72">
        <w:rPr>
          <w:rFonts w:cs="Arial"/>
          <w:szCs w:val="22"/>
        </w:rPr>
        <w:t xml:space="preserve"> uplatnění diskontní sazby na cenu peněz, v uplatnění odvozených relativních ukazatelů</w:t>
      </w:r>
      <w:r w:rsidR="00021AB4" w:rsidRPr="004E2B72">
        <w:rPr>
          <w:rFonts w:cs="Arial"/>
          <w:szCs w:val="22"/>
        </w:rPr>
        <w:t>, v zahrnutí nebo vyloučení některých nákladových kategorií, atp.</w:t>
      </w:r>
      <w:r w:rsidRPr="004E2B72">
        <w:rPr>
          <w:rFonts w:cs="Arial"/>
          <w:szCs w:val="22"/>
        </w:rPr>
        <w:t xml:space="preserve">. </w:t>
      </w:r>
    </w:p>
    <w:p w14:paraId="1196E199" w14:textId="77777777" w:rsidR="00292E89" w:rsidRPr="004E2B72" w:rsidRDefault="00292E89" w:rsidP="00073E78">
      <w:pPr>
        <w:tabs>
          <w:tab w:val="clear" w:pos="9072"/>
          <w:tab w:val="right" w:pos="9498"/>
        </w:tabs>
        <w:jc w:val="both"/>
        <w:rPr>
          <w:rFonts w:cs="Arial"/>
          <w:szCs w:val="22"/>
        </w:rPr>
      </w:pPr>
      <w:r w:rsidRPr="004E2B72">
        <w:rPr>
          <w:rFonts w:cs="Arial"/>
          <w:szCs w:val="22"/>
        </w:rPr>
        <w:t>V některých analýzách (a zejména v plánování) je požadováno zadávat údaje na úrovni nákladové komponenty (např. A1), v jiných postačí agregovaný údaj na úrovni nákladové kategorie (například A) nebo jediné číslo k agregovanému ukazateli TCO. V takovém případě slouží struktura nákladového modelu TCO jako nápověda, kde hledat v úřadě údaje do celkových součtů.</w:t>
      </w:r>
    </w:p>
    <w:p w14:paraId="54468BB3" w14:textId="64596E77" w:rsidR="00DC49EA" w:rsidRPr="004E2B72" w:rsidRDefault="00DC49EA" w:rsidP="00073E78">
      <w:pPr>
        <w:tabs>
          <w:tab w:val="clear" w:pos="9072"/>
          <w:tab w:val="right" w:pos="9498"/>
        </w:tabs>
        <w:jc w:val="both"/>
        <w:rPr>
          <w:rFonts w:cs="Arial"/>
          <w:szCs w:val="22"/>
        </w:rPr>
      </w:pPr>
      <w:r w:rsidRPr="004E2B72">
        <w:rPr>
          <w:rFonts w:cs="Arial"/>
          <w:szCs w:val="22"/>
        </w:rPr>
        <w:t>Více o zvláštnostech posuzování TCO v jednotlivých případech uvádějí následující kapitoly.</w:t>
      </w:r>
    </w:p>
    <w:p w14:paraId="316A3E13" w14:textId="77777777" w:rsidR="00DC49EA" w:rsidRPr="004E2B72" w:rsidRDefault="00DC49EA" w:rsidP="00073E78">
      <w:pPr>
        <w:pStyle w:val="Nadpis2"/>
        <w:jc w:val="both"/>
        <w:rPr>
          <w:rFonts w:cs="Arial"/>
        </w:rPr>
      </w:pPr>
      <w:bookmarkStart w:id="25" w:name="_Ref115780519"/>
      <w:bookmarkStart w:id="26" w:name="_Toc120784676"/>
      <w:r w:rsidRPr="004E2B72">
        <w:rPr>
          <w:rFonts w:cs="Arial"/>
        </w:rPr>
        <w:t>Srovnávací šetření TCO stávajících IS ve veřejné správě</w:t>
      </w:r>
      <w:bookmarkEnd w:id="25"/>
      <w:bookmarkEnd w:id="26"/>
    </w:p>
    <w:p w14:paraId="540417D0" w14:textId="6D6E53F1" w:rsidR="004D54E8" w:rsidRPr="004E2B72" w:rsidRDefault="004D54E8" w:rsidP="00073E78">
      <w:pPr>
        <w:tabs>
          <w:tab w:val="clear" w:pos="9072"/>
          <w:tab w:val="right" w:pos="9498"/>
        </w:tabs>
        <w:jc w:val="both"/>
        <w:rPr>
          <w:rFonts w:cs="Arial"/>
          <w:szCs w:val="22"/>
        </w:rPr>
      </w:pPr>
      <w:r w:rsidRPr="004E2B72">
        <w:rPr>
          <w:rFonts w:cs="Arial"/>
          <w:szCs w:val="22"/>
        </w:rPr>
        <w:t>Tento způsob využití TCO byl v </w:t>
      </w:r>
      <w:r w:rsidR="00705913" w:rsidRPr="004E2B72">
        <w:rPr>
          <w:rFonts w:cs="Arial"/>
          <w:szCs w:val="22"/>
        </w:rPr>
        <w:t>r</w:t>
      </w:r>
      <w:r w:rsidR="00FF22A2">
        <w:rPr>
          <w:rFonts w:cs="Arial"/>
          <w:szCs w:val="22"/>
        </w:rPr>
        <w:t>oce</w:t>
      </w:r>
      <w:r w:rsidR="00705913" w:rsidRPr="004E2B72">
        <w:rPr>
          <w:rFonts w:cs="Arial"/>
          <w:szCs w:val="22"/>
        </w:rPr>
        <w:t xml:space="preserve"> 2015</w:t>
      </w:r>
      <w:r w:rsidRPr="004E2B72">
        <w:rPr>
          <w:rFonts w:cs="Arial"/>
          <w:szCs w:val="22"/>
        </w:rPr>
        <w:t xml:space="preserve"> použit pro vyhodnocení efektivity typových Back-Office a podpůrných řešení (ERP, HR, mail a spisová služba).</w:t>
      </w:r>
      <w:r w:rsidR="002204AA">
        <w:rPr>
          <w:rFonts w:cs="Arial"/>
          <w:szCs w:val="22"/>
        </w:rPr>
        <w:t xml:space="preserve"> Aktuálně se předpokládá, že bude využíván intenzivněji, častěji a u více srovnatelných řešení, neboť se využije, že jejich správci mají zákonnou povinnost ekonomickou výhodnost ISVS průběžně vyhodnocovat, viz kapitola </w:t>
      </w:r>
      <w:r w:rsidR="002204AA">
        <w:rPr>
          <w:rFonts w:cs="Arial"/>
          <w:szCs w:val="22"/>
        </w:rPr>
        <w:fldChar w:fldCharType="begin"/>
      </w:r>
      <w:r w:rsidR="002204AA">
        <w:rPr>
          <w:rFonts w:cs="Arial"/>
          <w:szCs w:val="22"/>
        </w:rPr>
        <w:instrText xml:space="preserve"> REF _Ref120709736 \r \h </w:instrText>
      </w:r>
      <w:r w:rsidR="002204AA">
        <w:rPr>
          <w:rFonts w:cs="Arial"/>
          <w:szCs w:val="22"/>
        </w:rPr>
      </w:r>
      <w:r w:rsidR="002204AA">
        <w:rPr>
          <w:rFonts w:cs="Arial"/>
          <w:szCs w:val="22"/>
        </w:rPr>
        <w:fldChar w:fldCharType="separate"/>
      </w:r>
      <w:r w:rsidR="002204AA">
        <w:rPr>
          <w:rFonts w:cs="Arial"/>
          <w:szCs w:val="22"/>
        </w:rPr>
        <w:t>2.6</w:t>
      </w:r>
      <w:r w:rsidR="002204AA">
        <w:rPr>
          <w:rFonts w:cs="Arial"/>
          <w:szCs w:val="22"/>
        </w:rPr>
        <w:fldChar w:fldCharType="end"/>
      </w:r>
      <w:r w:rsidR="002204AA">
        <w:rPr>
          <w:rFonts w:cs="Arial"/>
          <w:szCs w:val="22"/>
        </w:rPr>
        <w:t>.</w:t>
      </w:r>
    </w:p>
    <w:p w14:paraId="53DC35E5" w14:textId="77716832" w:rsidR="00DC49EA" w:rsidRPr="004E2B72" w:rsidRDefault="004D54E8" w:rsidP="00073E78">
      <w:pPr>
        <w:tabs>
          <w:tab w:val="clear" w:pos="9072"/>
          <w:tab w:val="right" w:pos="9498"/>
        </w:tabs>
        <w:jc w:val="both"/>
        <w:rPr>
          <w:rFonts w:cs="Arial"/>
          <w:szCs w:val="22"/>
        </w:rPr>
      </w:pPr>
      <w:r w:rsidRPr="004E2B72">
        <w:rPr>
          <w:rFonts w:cs="Arial"/>
          <w:szCs w:val="22"/>
        </w:rPr>
        <w:t>Je pro něj typické vyhodnocení skutečných hodnot ukazatele TCO pohledem zpátky, m</w:t>
      </w:r>
      <w:r w:rsidR="00DC49EA" w:rsidRPr="004E2B72">
        <w:rPr>
          <w:rFonts w:cs="Arial"/>
          <w:szCs w:val="22"/>
        </w:rPr>
        <w:t xml:space="preserve">noho </w:t>
      </w:r>
      <w:r w:rsidRPr="004E2B72">
        <w:rPr>
          <w:rFonts w:cs="Arial"/>
          <w:szCs w:val="22"/>
        </w:rPr>
        <w:t xml:space="preserve">zúčastněných </w:t>
      </w:r>
      <w:r w:rsidR="00DC49EA" w:rsidRPr="004E2B72">
        <w:rPr>
          <w:rFonts w:cs="Arial"/>
          <w:szCs w:val="22"/>
        </w:rPr>
        <w:t>subjektů</w:t>
      </w:r>
      <w:r w:rsidR="002204AA">
        <w:rPr>
          <w:rFonts w:cs="Arial"/>
          <w:szCs w:val="22"/>
        </w:rPr>
        <w:t xml:space="preserve"> a jejich systémů</w:t>
      </w:r>
      <w:r w:rsidR="00DC49EA" w:rsidRPr="004E2B72">
        <w:rPr>
          <w:rFonts w:cs="Arial"/>
          <w:szCs w:val="22"/>
        </w:rPr>
        <w:t xml:space="preserve">, spíše </w:t>
      </w:r>
      <w:r w:rsidR="005A779F" w:rsidRPr="004E2B72">
        <w:rPr>
          <w:rFonts w:cs="Arial"/>
          <w:szCs w:val="22"/>
        </w:rPr>
        <w:t>analytické využití výsledků srovnání (</w:t>
      </w:r>
      <w:r w:rsidR="00DC49EA" w:rsidRPr="004E2B72">
        <w:rPr>
          <w:rFonts w:cs="Arial"/>
          <w:szCs w:val="22"/>
        </w:rPr>
        <w:t>benchmark</w:t>
      </w:r>
      <w:r w:rsidR="005A779F" w:rsidRPr="004E2B72">
        <w:rPr>
          <w:rFonts w:cs="Arial"/>
          <w:szCs w:val="22"/>
        </w:rPr>
        <w:t>)</w:t>
      </w:r>
      <w:r w:rsidR="00DC49EA" w:rsidRPr="004E2B72">
        <w:rPr>
          <w:rFonts w:cs="Arial"/>
          <w:szCs w:val="22"/>
        </w:rPr>
        <w:t xml:space="preserve"> než </w:t>
      </w:r>
      <w:r w:rsidR="005A779F" w:rsidRPr="004E2B72">
        <w:rPr>
          <w:rFonts w:cs="Arial"/>
          <w:szCs w:val="22"/>
        </w:rPr>
        <w:t xml:space="preserve">zásadní investiční </w:t>
      </w:r>
      <w:r w:rsidR="00DC49EA" w:rsidRPr="004E2B72">
        <w:rPr>
          <w:rFonts w:cs="Arial"/>
          <w:szCs w:val="22"/>
        </w:rPr>
        <w:t>rozhodování</w:t>
      </w:r>
      <w:r w:rsidR="005A779F" w:rsidRPr="004E2B72">
        <w:rPr>
          <w:rFonts w:cs="Arial"/>
          <w:szCs w:val="22"/>
        </w:rPr>
        <w:t xml:space="preserve"> o </w:t>
      </w:r>
      <w:r w:rsidR="002204AA">
        <w:rPr>
          <w:rFonts w:cs="Arial"/>
          <w:szCs w:val="22"/>
        </w:rPr>
        <w:t xml:space="preserve">konkrétních </w:t>
      </w:r>
      <w:r w:rsidR="005A779F" w:rsidRPr="004E2B72">
        <w:rPr>
          <w:rFonts w:cs="Arial"/>
          <w:szCs w:val="22"/>
        </w:rPr>
        <w:t>řešeních</w:t>
      </w:r>
      <w:r w:rsidR="00DC49EA" w:rsidRPr="004E2B72">
        <w:rPr>
          <w:rFonts w:cs="Arial"/>
          <w:szCs w:val="22"/>
        </w:rPr>
        <w:t>.</w:t>
      </w:r>
    </w:p>
    <w:p w14:paraId="0A1A6568" w14:textId="1F75DF79" w:rsidR="00DC49EA" w:rsidRPr="004E2B72" w:rsidRDefault="005A779F" w:rsidP="00073E78">
      <w:pPr>
        <w:tabs>
          <w:tab w:val="clear" w:pos="9072"/>
          <w:tab w:val="right" w:pos="9498"/>
        </w:tabs>
        <w:jc w:val="both"/>
        <w:rPr>
          <w:rFonts w:cs="Arial"/>
          <w:szCs w:val="22"/>
        </w:rPr>
      </w:pPr>
      <w:r w:rsidRPr="004E2B72">
        <w:rPr>
          <w:rFonts w:cs="Arial"/>
          <w:szCs w:val="22"/>
        </w:rPr>
        <w:t>Dobře provedený TCO benchmark přinese v dotaznících současně klasifikaci a vyhodnocení uplatněných opatření pro optimalizaci nákladů</w:t>
      </w:r>
      <w:r w:rsidR="002204AA">
        <w:rPr>
          <w:rFonts w:cs="Arial"/>
          <w:szCs w:val="22"/>
        </w:rPr>
        <w:t xml:space="preserve">, viz návaznost na kap. </w:t>
      </w:r>
      <w:r w:rsidR="002204AA">
        <w:rPr>
          <w:rFonts w:cs="Arial"/>
          <w:szCs w:val="22"/>
        </w:rPr>
        <w:fldChar w:fldCharType="begin"/>
      </w:r>
      <w:r w:rsidR="002204AA">
        <w:rPr>
          <w:rFonts w:cs="Arial"/>
          <w:szCs w:val="22"/>
        </w:rPr>
        <w:instrText xml:space="preserve"> REF _Ref120709816 \r \h </w:instrText>
      </w:r>
      <w:r w:rsidR="002204AA">
        <w:rPr>
          <w:rFonts w:cs="Arial"/>
          <w:szCs w:val="22"/>
        </w:rPr>
      </w:r>
      <w:r w:rsidR="002204AA">
        <w:rPr>
          <w:rFonts w:cs="Arial"/>
          <w:szCs w:val="22"/>
        </w:rPr>
        <w:fldChar w:fldCharType="separate"/>
      </w:r>
      <w:r w:rsidR="002204AA">
        <w:rPr>
          <w:rFonts w:cs="Arial"/>
          <w:szCs w:val="22"/>
        </w:rPr>
        <w:t>3.4</w:t>
      </w:r>
      <w:r w:rsidR="002204AA">
        <w:rPr>
          <w:rFonts w:cs="Arial"/>
          <w:szCs w:val="22"/>
        </w:rPr>
        <w:fldChar w:fldCharType="end"/>
      </w:r>
      <w:r w:rsidRPr="004E2B72">
        <w:rPr>
          <w:rFonts w:cs="Arial"/>
          <w:szCs w:val="22"/>
        </w:rPr>
        <w:t xml:space="preserve">. To umožní manažerům, kteří nejsou spokojeni s výsledkem své organizace v některé nákladové kategorii nebo komponentě, aby se podívali, jaká opatření mají uplatněna </w:t>
      </w:r>
      <w:r w:rsidR="0067574A" w:rsidRPr="004E2B72">
        <w:rPr>
          <w:rFonts w:cs="Arial"/>
          <w:szCs w:val="22"/>
        </w:rPr>
        <w:t>t</w:t>
      </w:r>
      <w:r w:rsidRPr="004E2B72">
        <w:rPr>
          <w:rFonts w:cs="Arial"/>
          <w:szCs w:val="22"/>
        </w:rPr>
        <w:t xml:space="preserve">i, kteří dopadli lépe. </w:t>
      </w:r>
      <w:r w:rsidR="003350D0" w:rsidRPr="004E2B72">
        <w:rPr>
          <w:rFonts w:cs="Arial"/>
          <w:szCs w:val="22"/>
        </w:rPr>
        <w:t>S</w:t>
      </w:r>
      <w:r w:rsidRPr="004E2B72">
        <w:rPr>
          <w:rFonts w:cs="Arial"/>
          <w:szCs w:val="22"/>
        </w:rPr>
        <w:t xml:space="preserve">tudie </w:t>
      </w:r>
      <w:r w:rsidR="003350D0" w:rsidRPr="004E2B72">
        <w:rPr>
          <w:rFonts w:cs="Arial"/>
          <w:szCs w:val="22"/>
        </w:rPr>
        <w:t xml:space="preserve">provedená </w:t>
      </w:r>
      <w:r w:rsidRPr="004E2B72">
        <w:rPr>
          <w:rFonts w:cs="Arial"/>
          <w:szCs w:val="22"/>
        </w:rPr>
        <w:t xml:space="preserve">MV ČR </w:t>
      </w:r>
      <w:r w:rsidR="003350D0" w:rsidRPr="004E2B72">
        <w:rPr>
          <w:rFonts w:cs="Arial"/>
          <w:szCs w:val="22"/>
        </w:rPr>
        <w:t xml:space="preserve">v r. 2015 </w:t>
      </w:r>
      <w:r w:rsidRPr="004E2B72">
        <w:rPr>
          <w:rFonts w:cs="Arial"/>
          <w:szCs w:val="22"/>
        </w:rPr>
        <w:t>ještě neměla tento doporučující charakter.</w:t>
      </w:r>
    </w:p>
    <w:p w14:paraId="0FEDCBB9" w14:textId="68BEA175" w:rsidR="00DC49EA" w:rsidRPr="004E2B72" w:rsidRDefault="00DC49EA" w:rsidP="00073E78">
      <w:pPr>
        <w:jc w:val="both"/>
        <w:rPr>
          <w:rFonts w:cs="Arial"/>
          <w:szCs w:val="22"/>
        </w:rPr>
      </w:pPr>
      <w:r w:rsidRPr="004E2B72">
        <w:rPr>
          <w:rFonts w:cs="Arial"/>
          <w:szCs w:val="22"/>
        </w:rPr>
        <w:t xml:space="preserve">Pro tento účel </w:t>
      </w:r>
      <w:r w:rsidR="005A779F" w:rsidRPr="004E2B72">
        <w:rPr>
          <w:rFonts w:cs="Arial"/>
          <w:szCs w:val="22"/>
        </w:rPr>
        <w:t xml:space="preserve">benchmarku </w:t>
      </w:r>
      <w:r w:rsidRPr="004E2B72">
        <w:rPr>
          <w:rFonts w:cs="Arial"/>
          <w:szCs w:val="22"/>
        </w:rPr>
        <w:t xml:space="preserve">metodika </w:t>
      </w:r>
      <w:r w:rsidRPr="004E2B72">
        <w:rPr>
          <w:rFonts w:cs="Arial"/>
          <w:b/>
          <w:szCs w:val="22"/>
        </w:rPr>
        <w:t xml:space="preserve">nerozlišuje investiční a </w:t>
      </w:r>
      <w:r w:rsidR="005A779F" w:rsidRPr="004E2B72">
        <w:rPr>
          <w:rFonts w:cs="Arial"/>
          <w:b/>
          <w:szCs w:val="22"/>
        </w:rPr>
        <w:t>provozní</w:t>
      </w:r>
      <w:r w:rsidRPr="004E2B72">
        <w:rPr>
          <w:rFonts w:cs="Arial"/>
          <w:b/>
          <w:szCs w:val="22"/>
        </w:rPr>
        <w:t xml:space="preserve"> </w:t>
      </w:r>
      <w:r w:rsidR="00613CCF" w:rsidRPr="004E2B72">
        <w:rPr>
          <w:rFonts w:cs="Arial"/>
          <w:b/>
          <w:szCs w:val="22"/>
        </w:rPr>
        <w:t>výdaje</w:t>
      </w:r>
      <w:r w:rsidRPr="004E2B72">
        <w:rPr>
          <w:rFonts w:cs="Arial"/>
          <w:szCs w:val="22"/>
        </w:rPr>
        <w:t xml:space="preserve">. Do TCO se započítávají všechny </w:t>
      </w:r>
      <w:r w:rsidR="005A779F" w:rsidRPr="004E2B72">
        <w:rPr>
          <w:rFonts w:cs="Arial"/>
          <w:szCs w:val="22"/>
        </w:rPr>
        <w:t>náklady ze všech níže zeleně označených</w:t>
      </w:r>
      <w:r w:rsidRPr="004E2B72">
        <w:rPr>
          <w:rFonts w:cs="Arial"/>
          <w:szCs w:val="22"/>
        </w:rPr>
        <w:t xml:space="preserve"> náklad</w:t>
      </w:r>
      <w:r w:rsidR="005A779F" w:rsidRPr="004E2B72">
        <w:rPr>
          <w:rFonts w:cs="Arial"/>
          <w:szCs w:val="22"/>
        </w:rPr>
        <w:t>ových kategorií</w:t>
      </w:r>
      <w:r w:rsidRPr="004E2B72">
        <w:rPr>
          <w:rFonts w:cs="Arial"/>
          <w:szCs w:val="22"/>
        </w:rPr>
        <w:t xml:space="preserve">, které vznikly ve </w:t>
      </w:r>
      <w:r w:rsidRPr="004E2B72">
        <w:rPr>
          <w:rFonts w:cs="Arial"/>
          <w:b/>
          <w:szCs w:val="22"/>
        </w:rPr>
        <w:t>sledovaném období</w:t>
      </w:r>
      <w:r w:rsidRPr="004E2B72">
        <w:rPr>
          <w:rFonts w:cs="Arial"/>
          <w:szCs w:val="22"/>
        </w:rPr>
        <w:t xml:space="preserve">. V případě investičních </w:t>
      </w:r>
      <w:r w:rsidR="00613CCF" w:rsidRPr="004E2B72">
        <w:rPr>
          <w:rFonts w:cs="Arial"/>
          <w:szCs w:val="22"/>
        </w:rPr>
        <w:t>výdajů</w:t>
      </w:r>
      <w:r w:rsidRPr="004E2B72">
        <w:rPr>
          <w:rFonts w:cs="Arial"/>
          <w:szCs w:val="22"/>
        </w:rPr>
        <w:t xml:space="preserve"> na pořízení jsou tyto </w:t>
      </w:r>
      <w:r w:rsidR="00613CCF" w:rsidRPr="004E2B72">
        <w:rPr>
          <w:rFonts w:cs="Arial"/>
          <w:szCs w:val="22"/>
        </w:rPr>
        <w:t xml:space="preserve">jako náklady </w:t>
      </w:r>
      <w:r w:rsidRPr="004E2B72">
        <w:rPr>
          <w:rFonts w:cs="Arial"/>
          <w:szCs w:val="22"/>
        </w:rPr>
        <w:t xml:space="preserve">do TCO započítány v </w:t>
      </w:r>
      <w:r w:rsidRPr="004E2B72">
        <w:rPr>
          <w:rFonts w:cs="Arial"/>
          <w:b/>
          <w:szCs w:val="22"/>
        </w:rPr>
        <w:t>plné výši již v roce, ve kterém vznikly</w:t>
      </w:r>
      <w:r w:rsidRPr="004E2B72">
        <w:rPr>
          <w:rFonts w:cs="Arial"/>
          <w:szCs w:val="22"/>
        </w:rPr>
        <w:t>, neboli není třeba se zabývat odepisováním investice v jednotlivých letech.</w:t>
      </w:r>
    </w:p>
    <w:p w14:paraId="3C61CE25" w14:textId="36C806E3" w:rsidR="009016EC" w:rsidRPr="004E2B72" w:rsidRDefault="005A779F" w:rsidP="00073E78">
      <w:pPr>
        <w:tabs>
          <w:tab w:val="clear" w:pos="9072"/>
          <w:tab w:val="right" w:pos="9498"/>
        </w:tabs>
        <w:jc w:val="both"/>
        <w:rPr>
          <w:rFonts w:cs="Arial"/>
          <w:szCs w:val="22"/>
        </w:rPr>
      </w:pPr>
      <w:r w:rsidRPr="004E2B72">
        <w:rPr>
          <w:rFonts w:cs="Arial"/>
          <w:szCs w:val="22"/>
        </w:rPr>
        <w:t xml:space="preserve">Prvotní studie MV nebyla vymezena na </w:t>
      </w:r>
      <w:r w:rsidR="00DC49EA" w:rsidRPr="004E2B72">
        <w:rPr>
          <w:rFonts w:cs="Arial"/>
          <w:szCs w:val="22"/>
        </w:rPr>
        <w:t xml:space="preserve">5 let </w:t>
      </w:r>
      <w:r w:rsidRPr="004E2B72">
        <w:rPr>
          <w:rFonts w:cs="Arial"/>
          <w:szCs w:val="22"/>
        </w:rPr>
        <w:t xml:space="preserve">zpátky, ale od pořízení do </w:t>
      </w:r>
      <w:r w:rsidR="006707C8" w:rsidRPr="004E2B72">
        <w:rPr>
          <w:rFonts w:cs="Arial"/>
          <w:szCs w:val="22"/>
        </w:rPr>
        <w:t>31. 12. 2014</w:t>
      </w:r>
      <w:r w:rsidRPr="004E2B72">
        <w:rPr>
          <w:rFonts w:cs="Arial"/>
          <w:szCs w:val="22"/>
        </w:rPr>
        <w:t>. Protože každý z porovnávaných systémů je jinak starý, některé i 10 nebo 15 let, musí být u každého uveden rok uvedení do provozu</w:t>
      </w:r>
      <w:r w:rsidR="003350D0" w:rsidRPr="004E2B72">
        <w:rPr>
          <w:rFonts w:cs="Arial"/>
          <w:szCs w:val="22"/>
        </w:rPr>
        <w:t>, aby bylo možné spočítat a porovnat průměrné roční náklady jednotlivých OVM.</w:t>
      </w:r>
    </w:p>
    <w:p w14:paraId="70EFA835" w14:textId="40C612CD" w:rsidR="00DC49EA" w:rsidRPr="004E2B72" w:rsidRDefault="009016EC" w:rsidP="00073E78">
      <w:pPr>
        <w:tabs>
          <w:tab w:val="clear" w:pos="9072"/>
          <w:tab w:val="right" w:pos="9498"/>
        </w:tabs>
        <w:jc w:val="both"/>
        <w:rPr>
          <w:rFonts w:cs="Arial"/>
          <w:b/>
          <w:szCs w:val="22"/>
        </w:rPr>
      </w:pPr>
      <w:r w:rsidRPr="004E2B72">
        <w:rPr>
          <w:rFonts w:cs="Arial"/>
          <w:szCs w:val="22"/>
        </w:rPr>
        <w:t xml:space="preserve">Při budoucích podobných srovnáních je potřeba zajistit srovnatelnost systémů s různě dlouhým životním cyklem (různě starých) – méně nebo více než 5 let. Proto se vždy uplatní výdaje (resp. náklady) od počáteční investice. </w:t>
      </w:r>
      <w:r w:rsidR="005A779F" w:rsidRPr="004E2B72">
        <w:rPr>
          <w:rFonts w:cs="Arial"/>
          <w:szCs w:val="22"/>
        </w:rPr>
        <w:t xml:space="preserve">Pro korektní srovnání systémů mezi sebou se pak použijí </w:t>
      </w:r>
      <w:r w:rsidR="00DC49EA" w:rsidRPr="004E2B72">
        <w:rPr>
          <w:rFonts w:cs="Arial"/>
          <w:szCs w:val="22"/>
        </w:rPr>
        <w:t>relativní ukazatel</w:t>
      </w:r>
      <w:r w:rsidR="005A779F" w:rsidRPr="004E2B72">
        <w:rPr>
          <w:rFonts w:cs="Arial"/>
          <w:szCs w:val="22"/>
        </w:rPr>
        <w:t>e</w:t>
      </w:r>
      <w:r w:rsidR="00DC49EA" w:rsidRPr="004E2B72">
        <w:rPr>
          <w:rFonts w:cs="Arial"/>
          <w:szCs w:val="22"/>
        </w:rPr>
        <w:t xml:space="preserve"> </w:t>
      </w:r>
      <w:r w:rsidR="00DC49EA" w:rsidRPr="004E2B72">
        <w:rPr>
          <w:rFonts w:cs="Arial"/>
          <w:b/>
          <w:szCs w:val="22"/>
        </w:rPr>
        <w:t>TCO/ rok provozu</w:t>
      </w:r>
      <w:r w:rsidR="00DC49EA" w:rsidRPr="004E2B72">
        <w:rPr>
          <w:rFonts w:cs="Arial"/>
          <w:szCs w:val="22"/>
        </w:rPr>
        <w:t xml:space="preserve"> nebo dokonce </w:t>
      </w:r>
      <w:r w:rsidR="00DC49EA" w:rsidRPr="004E2B72">
        <w:rPr>
          <w:rFonts w:cs="Arial"/>
          <w:b/>
          <w:szCs w:val="22"/>
        </w:rPr>
        <w:t>TCO/rok provozu/počet uživatelů.</w:t>
      </w:r>
    </w:p>
    <w:p w14:paraId="3514DF9B" w14:textId="323AC0F4" w:rsidR="00DC49EA" w:rsidRDefault="005A779F" w:rsidP="00073E78">
      <w:pPr>
        <w:tabs>
          <w:tab w:val="clear" w:pos="284"/>
          <w:tab w:val="clear" w:pos="567"/>
          <w:tab w:val="clear" w:pos="851"/>
          <w:tab w:val="clear" w:pos="1134"/>
          <w:tab w:val="clear" w:pos="1418"/>
          <w:tab w:val="clear" w:pos="9072"/>
        </w:tabs>
        <w:spacing w:after="0"/>
        <w:jc w:val="both"/>
        <w:rPr>
          <w:rFonts w:cs="Arial"/>
          <w:szCs w:val="22"/>
        </w:rPr>
      </w:pPr>
      <w:r w:rsidRPr="004E2B72">
        <w:rPr>
          <w:rFonts w:cs="Arial"/>
          <w:szCs w:val="22"/>
        </w:rPr>
        <w:t>U podobných dlouhodobých studií je m</w:t>
      </w:r>
      <w:r w:rsidR="00DC49EA" w:rsidRPr="004E2B72">
        <w:rPr>
          <w:rFonts w:cs="Arial"/>
          <w:szCs w:val="22"/>
        </w:rPr>
        <w:t xml:space="preserve">ožná potřeba uplatnění diskontovaných údajů, což vede na </w:t>
      </w:r>
      <w:r w:rsidRPr="004E2B72">
        <w:rPr>
          <w:rFonts w:cs="Arial"/>
          <w:szCs w:val="22"/>
        </w:rPr>
        <w:t xml:space="preserve">odvozený </w:t>
      </w:r>
      <w:r w:rsidR="00DC49EA" w:rsidRPr="004E2B72">
        <w:rPr>
          <w:rFonts w:cs="Arial"/>
          <w:szCs w:val="22"/>
        </w:rPr>
        <w:t>ukazatel NPV</w:t>
      </w:r>
      <w:r w:rsidR="00DC49EA" w:rsidRPr="004E2B72">
        <w:rPr>
          <w:rFonts w:cs="Arial"/>
          <w:szCs w:val="22"/>
          <w:vertAlign w:val="superscript"/>
        </w:rPr>
        <w:footnoteReference w:id="24"/>
      </w:r>
      <w:r w:rsidR="00DC49EA" w:rsidRPr="004E2B72">
        <w:rPr>
          <w:rFonts w:cs="Arial"/>
          <w:szCs w:val="22"/>
        </w:rPr>
        <w:t xml:space="preserve"> místo TCO, modifikovaný směrem do minulosti.</w:t>
      </w:r>
    </w:p>
    <w:p w14:paraId="13091F2B" w14:textId="6418395D" w:rsidR="009479F2" w:rsidRDefault="009479F2" w:rsidP="00073E78">
      <w:pPr>
        <w:tabs>
          <w:tab w:val="clear" w:pos="284"/>
          <w:tab w:val="clear" w:pos="567"/>
          <w:tab w:val="clear" w:pos="851"/>
          <w:tab w:val="clear" w:pos="1134"/>
          <w:tab w:val="clear" w:pos="1418"/>
          <w:tab w:val="clear" w:pos="9072"/>
        </w:tabs>
        <w:spacing w:after="0"/>
        <w:jc w:val="both"/>
        <w:rPr>
          <w:rFonts w:cs="Arial"/>
          <w:szCs w:val="22"/>
        </w:rPr>
      </w:pPr>
    </w:p>
    <w:p w14:paraId="105D952E" w14:textId="2D6E2BA3" w:rsidR="009479F2" w:rsidRPr="004E2B72" w:rsidRDefault="009479F2" w:rsidP="00073E78">
      <w:pPr>
        <w:tabs>
          <w:tab w:val="clear" w:pos="284"/>
          <w:tab w:val="clear" w:pos="567"/>
          <w:tab w:val="clear" w:pos="851"/>
          <w:tab w:val="clear" w:pos="1134"/>
          <w:tab w:val="clear" w:pos="1418"/>
          <w:tab w:val="clear" w:pos="9072"/>
        </w:tabs>
        <w:spacing w:after="0"/>
        <w:jc w:val="both"/>
        <w:rPr>
          <w:rFonts w:cs="Arial"/>
          <w:szCs w:val="22"/>
        </w:rPr>
      </w:pPr>
      <w:r>
        <w:rPr>
          <w:rFonts w:cs="Arial"/>
          <w:szCs w:val="22"/>
        </w:rPr>
        <w:t xml:space="preserve">Výsledek dle tohoto hodnocení se doplňuje též do Rejstříku informačních systémů veřejné správy dle </w:t>
      </w:r>
      <w:r w:rsidRPr="009479F2">
        <w:rPr>
          <w:rFonts w:cs="Arial"/>
          <w:szCs w:val="22"/>
        </w:rPr>
        <w:t>§</w:t>
      </w:r>
      <w:r>
        <w:rPr>
          <w:rFonts w:cs="Arial"/>
          <w:szCs w:val="22"/>
        </w:rPr>
        <w:t> </w:t>
      </w:r>
      <w:r w:rsidRPr="009479F2">
        <w:rPr>
          <w:rFonts w:cs="Arial"/>
          <w:szCs w:val="22"/>
        </w:rPr>
        <w:t>52c zákona č. 111/2009 Sb. o základních registrech</w:t>
      </w:r>
      <w:r>
        <w:rPr>
          <w:rFonts w:cs="Arial"/>
          <w:szCs w:val="22"/>
        </w:rPr>
        <w:t>. Z tohoto rejstříku je do budoucna plánován</w:t>
      </w:r>
      <w:r w:rsidR="008E10F0">
        <w:rPr>
          <w:rFonts w:cs="Arial"/>
          <w:szCs w:val="22"/>
        </w:rPr>
        <w:t>o</w:t>
      </w:r>
      <w:r>
        <w:rPr>
          <w:rFonts w:cs="Arial"/>
          <w:szCs w:val="22"/>
        </w:rPr>
        <w:t xml:space="preserve"> automatické využití údajů pro potřeby stanoviska odboru Hlavního architekta eGovernmentu</w:t>
      </w:r>
      <w:r w:rsidR="008E10F0">
        <w:rPr>
          <w:rFonts w:cs="Arial"/>
          <w:szCs w:val="22"/>
        </w:rPr>
        <w:t xml:space="preserve"> popsané v kapitole 3.3. Více o rejstříku informačních systémů veřejné správy nalezete zde </w:t>
      </w:r>
      <w:hyperlink r:id="rId17" w:history="1">
        <w:r w:rsidR="008E10F0" w:rsidRPr="00D01CCB">
          <w:rPr>
            <w:rStyle w:val="Hypertextovodkaz"/>
            <w:rFonts w:cs="Arial"/>
            <w:szCs w:val="22"/>
          </w:rPr>
          <w:t>https://archi.gov.cz/znalostni_baze:aisp_editace_udaju</w:t>
        </w:r>
      </w:hyperlink>
      <w:r w:rsidR="008E10F0">
        <w:rPr>
          <w:rFonts w:cs="Arial"/>
          <w:szCs w:val="22"/>
        </w:rPr>
        <w:t xml:space="preserve">. </w:t>
      </w:r>
    </w:p>
    <w:p w14:paraId="5DA8873C" w14:textId="77777777" w:rsidR="00406938" w:rsidRPr="004E2B72" w:rsidRDefault="00406938" w:rsidP="00073E78">
      <w:pPr>
        <w:tabs>
          <w:tab w:val="clear" w:pos="284"/>
          <w:tab w:val="clear" w:pos="567"/>
          <w:tab w:val="clear" w:pos="851"/>
          <w:tab w:val="clear" w:pos="1134"/>
          <w:tab w:val="clear" w:pos="1418"/>
          <w:tab w:val="clear" w:pos="9072"/>
        </w:tabs>
        <w:spacing w:after="0"/>
        <w:jc w:val="both"/>
        <w:rPr>
          <w:rFonts w:cs="Arial"/>
          <w:szCs w:val="22"/>
        </w:rPr>
      </w:pPr>
    </w:p>
    <w:tbl>
      <w:tblPr>
        <w:tblStyle w:val="Style1"/>
        <w:tblW w:w="9611" w:type="dxa"/>
        <w:tblInd w:w="-5" w:type="dxa"/>
        <w:tblLook w:val="04A0" w:firstRow="1" w:lastRow="0" w:firstColumn="1" w:lastColumn="0" w:noHBand="0" w:noVBand="1"/>
      </w:tblPr>
      <w:tblGrid>
        <w:gridCol w:w="8193"/>
        <w:gridCol w:w="1418"/>
      </w:tblGrid>
      <w:tr w:rsidR="00406938" w:rsidRPr="004E2B72" w14:paraId="1A79E8D1" w14:textId="77777777" w:rsidTr="0008366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93" w:type="dxa"/>
          </w:tcPr>
          <w:p w14:paraId="44AFF1A2" w14:textId="11DF922D" w:rsidR="00406938" w:rsidRPr="004E2B72" w:rsidRDefault="00406938" w:rsidP="00073E78">
            <w:pPr>
              <w:spacing w:after="0"/>
              <w:jc w:val="both"/>
              <w:rPr>
                <w:rFonts w:cs="Arial"/>
              </w:rPr>
            </w:pPr>
            <w:r w:rsidRPr="004E2B72">
              <w:rPr>
                <w:rFonts w:cs="Arial"/>
              </w:rPr>
              <w:t xml:space="preserve">Souhrnná položka modelu TCO </w:t>
            </w:r>
            <w:r w:rsidR="003D6E0A" w:rsidRPr="004E2B72">
              <w:rPr>
                <w:rFonts w:cs="Arial"/>
              </w:rPr>
              <w:t xml:space="preserve"> - nákladová kategorie</w:t>
            </w:r>
          </w:p>
          <w:p w14:paraId="2CD59C3C" w14:textId="77777777" w:rsidR="00406938" w:rsidRPr="004E2B72" w:rsidRDefault="00406938" w:rsidP="00073E78">
            <w:pPr>
              <w:spacing w:after="0"/>
              <w:jc w:val="both"/>
              <w:rPr>
                <w:rFonts w:cs="Arial"/>
              </w:rPr>
            </w:pPr>
            <w:r w:rsidRPr="004E2B72">
              <w:rPr>
                <w:rFonts w:cs="Arial"/>
              </w:rPr>
              <w:t>(5 let)</w:t>
            </w:r>
          </w:p>
        </w:tc>
        <w:tc>
          <w:tcPr>
            <w:tcW w:w="1418" w:type="dxa"/>
          </w:tcPr>
          <w:p w14:paraId="19D76F1C" w14:textId="6FB463B4" w:rsidR="00406938" w:rsidRPr="004E2B72" w:rsidRDefault="00406938" w:rsidP="00073E78">
            <w:pPr>
              <w:spacing w:after="0"/>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cs="Arial"/>
              </w:rPr>
              <w:t>Relevance pro šetření</w:t>
            </w:r>
          </w:p>
        </w:tc>
      </w:tr>
      <w:tr w:rsidR="00406938" w:rsidRPr="004E2B72" w14:paraId="5B98F90B"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51E54E4D" w14:textId="603E525C" w:rsidR="00406938" w:rsidRPr="004E2B72" w:rsidRDefault="00406938" w:rsidP="00073E78">
            <w:pPr>
              <w:spacing w:after="0"/>
              <w:jc w:val="both"/>
              <w:rPr>
                <w:rFonts w:cs="Arial"/>
                <w:b w:val="0"/>
              </w:rPr>
            </w:pPr>
            <w:r w:rsidRPr="004E2B72">
              <w:rPr>
                <w:rFonts w:cs="Arial"/>
              </w:rPr>
              <w:t>A. P</w:t>
            </w:r>
            <w:r w:rsidR="00CB3204" w:rsidRPr="004E2B72">
              <w:rPr>
                <w:rFonts w:cs="Arial"/>
              </w:rPr>
              <w:t>lánování,</w:t>
            </w:r>
            <w:r w:rsidRPr="004E2B72">
              <w:rPr>
                <w:rFonts w:cs="Arial"/>
              </w:rPr>
              <w:t xml:space="preserve"> analýzy, tvorba zadání, výběr řešení a dodavatele – náklady nákupního procesu </w:t>
            </w:r>
          </w:p>
        </w:tc>
        <w:tc>
          <w:tcPr>
            <w:tcW w:w="1418" w:type="dxa"/>
            <w:shd w:val="clear" w:color="auto" w:fill="C00000"/>
          </w:tcPr>
          <w:p w14:paraId="64F9B889"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6EB91FC6"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3B49643D" w14:textId="11FBDE54" w:rsidR="00406938" w:rsidRPr="004E2B72" w:rsidRDefault="00406938" w:rsidP="00073E78">
            <w:pPr>
              <w:spacing w:after="0"/>
              <w:jc w:val="both"/>
              <w:rPr>
                <w:rFonts w:cs="Arial"/>
                <w:b w:val="0"/>
              </w:rPr>
            </w:pPr>
            <w:r w:rsidRPr="004E2B72">
              <w:rPr>
                <w:rFonts w:cs="Arial"/>
              </w:rPr>
              <w:t xml:space="preserve">B. Nákup SW a HW pro projekt (ne v případě </w:t>
            </w:r>
            <w:r w:rsidR="00CB3204" w:rsidRPr="004E2B72">
              <w:rPr>
                <w:rFonts w:cs="Arial"/>
              </w:rPr>
              <w:t>Cloud</w:t>
            </w:r>
            <w:r w:rsidRPr="004E2B72">
              <w:rPr>
                <w:rFonts w:cs="Arial"/>
              </w:rPr>
              <w:t>)</w:t>
            </w:r>
          </w:p>
        </w:tc>
        <w:tc>
          <w:tcPr>
            <w:tcW w:w="1418" w:type="dxa"/>
            <w:shd w:val="clear" w:color="auto" w:fill="00B050"/>
          </w:tcPr>
          <w:p w14:paraId="09974929"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49364BCD"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4F04DDAC" w14:textId="2CD22DC5" w:rsidR="00406938" w:rsidRPr="004E2B72" w:rsidRDefault="00406938" w:rsidP="00073E78">
            <w:pPr>
              <w:spacing w:after="0"/>
              <w:jc w:val="both"/>
              <w:rPr>
                <w:rFonts w:cs="Arial"/>
                <w:b w:val="0"/>
                <w:bCs w:val="0"/>
              </w:rPr>
            </w:pPr>
            <w:r w:rsidRPr="004E2B72">
              <w:rPr>
                <w:rFonts w:cs="Arial"/>
              </w:rPr>
              <w:t>C. Analýza, vývoj, implementace</w:t>
            </w:r>
            <w:r w:rsidR="00CB3204" w:rsidRPr="004E2B72">
              <w:rPr>
                <w:rFonts w:cs="Arial"/>
              </w:rPr>
              <w:t>, integrace</w:t>
            </w:r>
            <w:r w:rsidRPr="004E2B72">
              <w:rPr>
                <w:rFonts w:cs="Arial"/>
              </w:rPr>
              <w:t xml:space="preserve"> a zkušební provoz </w:t>
            </w:r>
          </w:p>
        </w:tc>
        <w:tc>
          <w:tcPr>
            <w:tcW w:w="1418" w:type="dxa"/>
            <w:shd w:val="clear" w:color="auto" w:fill="00B050"/>
          </w:tcPr>
          <w:p w14:paraId="08B8FB4F"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03086693"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4306D2E3" w14:textId="31B1863E" w:rsidR="00406938" w:rsidRPr="004E2B72" w:rsidRDefault="00406938" w:rsidP="00073E78">
            <w:pPr>
              <w:spacing w:after="0"/>
              <w:jc w:val="both"/>
              <w:rPr>
                <w:rFonts w:cs="Arial"/>
                <w:b w:val="0"/>
                <w:bCs w:val="0"/>
              </w:rPr>
            </w:pPr>
            <w:r w:rsidRPr="004E2B72">
              <w:rPr>
                <w:rFonts w:cs="Arial"/>
              </w:rPr>
              <w:t xml:space="preserve">D. Provoz a podpora řešení (ne v případě </w:t>
            </w:r>
            <w:r w:rsidR="00CB3204" w:rsidRPr="004E2B72">
              <w:rPr>
                <w:rFonts w:cs="Arial"/>
              </w:rPr>
              <w:t>Cloud</w:t>
            </w:r>
            <w:r w:rsidRPr="004E2B72">
              <w:rPr>
                <w:rFonts w:cs="Arial"/>
              </w:rPr>
              <w:t>)</w:t>
            </w:r>
          </w:p>
        </w:tc>
        <w:tc>
          <w:tcPr>
            <w:tcW w:w="1418" w:type="dxa"/>
            <w:shd w:val="clear" w:color="auto" w:fill="00B050"/>
          </w:tcPr>
          <w:p w14:paraId="77D51904"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25145F64"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7453CB7F" w14:textId="469434E5" w:rsidR="00406938" w:rsidRPr="004E2B72" w:rsidRDefault="00406938" w:rsidP="00073E78">
            <w:pPr>
              <w:spacing w:after="0"/>
              <w:jc w:val="both"/>
              <w:rPr>
                <w:rFonts w:cs="Arial"/>
                <w:b w:val="0"/>
                <w:bCs w:val="0"/>
              </w:rPr>
            </w:pPr>
            <w:r w:rsidRPr="004E2B72">
              <w:rPr>
                <w:rFonts w:cs="Arial"/>
              </w:rPr>
              <w:t xml:space="preserve">E. </w:t>
            </w:r>
            <w:r w:rsidR="00CB3204" w:rsidRPr="004E2B72">
              <w:rPr>
                <w:rFonts w:cs="Arial"/>
              </w:rPr>
              <w:t>Ú</w:t>
            </w:r>
            <w:r w:rsidRPr="004E2B72">
              <w:rPr>
                <w:rFonts w:cs="Arial"/>
              </w:rPr>
              <w:t>držba</w:t>
            </w:r>
            <w:r w:rsidR="00CB3204" w:rsidRPr="004E2B72">
              <w:rPr>
                <w:rFonts w:cs="Arial"/>
              </w:rPr>
              <w:t>, opravy</w:t>
            </w:r>
            <w:r w:rsidRPr="004E2B72">
              <w:rPr>
                <w:rFonts w:cs="Arial"/>
              </w:rPr>
              <w:t xml:space="preserve"> a průběžné úpravy (ne v případě </w:t>
            </w:r>
            <w:r w:rsidR="00CB3204" w:rsidRPr="004E2B72">
              <w:rPr>
                <w:rFonts w:cs="Arial"/>
              </w:rPr>
              <w:t>Cloud</w:t>
            </w:r>
            <w:r w:rsidRPr="004E2B72">
              <w:rPr>
                <w:rFonts w:cs="Arial"/>
              </w:rPr>
              <w:t>)</w:t>
            </w:r>
          </w:p>
        </w:tc>
        <w:tc>
          <w:tcPr>
            <w:tcW w:w="1418" w:type="dxa"/>
            <w:shd w:val="clear" w:color="auto" w:fill="00B050"/>
          </w:tcPr>
          <w:p w14:paraId="4DB2CCE3"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4F13F773"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199C43BE" w14:textId="3E15709D" w:rsidR="00406938" w:rsidRPr="004E2B72" w:rsidRDefault="00406938" w:rsidP="00073E78">
            <w:pPr>
              <w:spacing w:after="0"/>
              <w:jc w:val="both"/>
              <w:rPr>
                <w:rFonts w:cs="Arial"/>
                <w:b w:val="0"/>
                <w:bCs w:val="0"/>
              </w:rPr>
            </w:pPr>
            <w:r w:rsidRPr="004E2B72">
              <w:rPr>
                <w:rFonts w:cs="Arial"/>
              </w:rPr>
              <w:t>F. Projekty postupné inovace a zlepšování (</w:t>
            </w:r>
            <w:r w:rsidR="005A779F" w:rsidRPr="004E2B72">
              <w:rPr>
                <w:rFonts w:cs="Arial"/>
              </w:rPr>
              <w:t>pokud se uskutečnily</w:t>
            </w:r>
            <w:r w:rsidRPr="004E2B72">
              <w:rPr>
                <w:rFonts w:cs="Arial"/>
              </w:rPr>
              <w:t>)</w:t>
            </w:r>
          </w:p>
        </w:tc>
        <w:tc>
          <w:tcPr>
            <w:tcW w:w="1418" w:type="dxa"/>
            <w:shd w:val="clear" w:color="auto" w:fill="00B050"/>
          </w:tcPr>
          <w:p w14:paraId="1ADF7D48"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504492ED"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4C08CC45" w14:textId="3B1CE502" w:rsidR="00406938" w:rsidRPr="004E2B72" w:rsidRDefault="00406938" w:rsidP="00073E78">
            <w:pPr>
              <w:spacing w:after="0"/>
              <w:jc w:val="both"/>
              <w:rPr>
                <w:rFonts w:cs="Arial"/>
                <w:b w:val="0"/>
                <w:bCs w:val="0"/>
              </w:rPr>
            </w:pPr>
            <w:r w:rsidRPr="004E2B72">
              <w:rPr>
                <w:rFonts w:cs="Arial"/>
              </w:rPr>
              <w:t xml:space="preserve">G. Projekty upgrade (pokud </w:t>
            </w:r>
            <w:r w:rsidR="005A779F" w:rsidRPr="004E2B72">
              <w:rPr>
                <w:rFonts w:cs="Arial"/>
              </w:rPr>
              <w:t>se uskutečnily</w:t>
            </w:r>
            <w:r w:rsidRPr="004E2B72">
              <w:rPr>
                <w:rFonts w:cs="Arial"/>
              </w:rPr>
              <w:t>)</w:t>
            </w:r>
          </w:p>
        </w:tc>
        <w:tc>
          <w:tcPr>
            <w:tcW w:w="1418" w:type="dxa"/>
            <w:shd w:val="clear" w:color="auto" w:fill="00B050"/>
          </w:tcPr>
          <w:p w14:paraId="08915693"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6A7CDED3"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71C56649" w14:textId="01155B02" w:rsidR="00406938" w:rsidRPr="004E2B72" w:rsidRDefault="00406938" w:rsidP="00073E78">
            <w:pPr>
              <w:spacing w:after="0"/>
              <w:jc w:val="both"/>
              <w:rPr>
                <w:rFonts w:cs="Arial"/>
                <w:b w:val="0"/>
                <w:bCs w:val="0"/>
              </w:rPr>
            </w:pPr>
            <w:r w:rsidRPr="004E2B72">
              <w:rPr>
                <w:rFonts w:cs="Arial"/>
              </w:rPr>
              <w:t>H. Zvýšené náklady užívání řešení (pokud se vyskyt</w:t>
            </w:r>
            <w:r w:rsidR="0008366C" w:rsidRPr="004E2B72">
              <w:rPr>
                <w:rFonts w:cs="Arial"/>
              </w:rPr>
              <w:t>ly</w:t>
            </w:r>
            <w:r w:rsidRPr="004E2B72">
              <w:rPr>
                <w:rFonts w:cs="Arial"/>
              </w:rPr>
              <w:t>)</w:t>
            </w:r>
          </w:p>
        </w:tc>
        <w:tc>
          <w:tcPr>
            <w:tcW w:w="1418" w:type="dxa"/>
            <w:shd w:val="clear" w:color="auto" w:fill="C00000"/>
          </w:tcPr>
          <w:p w14:paraId="3CF1F6B4"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0B27415C"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03BD51E3" w14:textId="2C75341E" w:rsidR="00406938" w:rsidRPr="004E2B72" w:rsidRDefault="00406938" w:rsidP="00073E78">
            <w:pPr>
              <w:spacing w:after="0"/>
              <w:jc w:val="both"/>
              <w:rPr>
                <w:rFonts w:cs="Arial"/>
                <w:b w:val="0"/>
              </w:rPr>
            </w:pPr>
            <w:r w:rsidRPr="004E2B72">
              <w:rPr>
                <w:rFonts w:cs="Arial"/>
              </w:rPr>
              <w:t xml:space="preserve">I. </w:t>
            </w:r>
            <w:r w:rsidR="00CB3204" w:rsidRPr="004E2B72">
              <w:rPr>
                <w:rFonts w:cs="Arial"/>
              </w:rPr>
              <w:t>Útlum, k</w:t>
            </w:r>
            <w:r w:rsidRPr="004E2B72">
              <w:rPr>
                <w:rFonts w:cs="Arial"/>
              </w:rPr>
              <w:t>onzervace a ukončení řešení</w:t>
            </w:r>
            <w:r w:rsidR="000436CD" w:rsidRPr="004E2B72">
              <w:rPr>
                <w:rFonts w:cs="Arial"/>
              </w:rPr>
              <w:t xml:space="preserve"> (u posuzovaných řešení ještě nenastala)</w:t>
            </w:r>
          </w:p>
        </w:tc>
        <w:tc>
          <w:tcPr>
            <w:tcW w:w="1418" w:type="dxa"/>
            <w:shd w:val="clear" w:color="auto" w:fill="C00000"/>
          </w:tcPr>
          <w:p w14:paraId="10FB137C"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0EDBE7CA"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537D3784" w14:textId="100DD3BF" w:rsidR="00406938" w:rsidRPr="004E2B72" w:rsidRDefault="00406938" w:rsidP="00073E78">
            <w:pPr>
              <w:spacing w:after="0"/>
              <w:jc w:val="both"/>
              <w:rPr>
                <w:rFonts w:cs="Arial"/>
                <w:b w:val="0"/>
                <w:bCs w:val="0"/>
              </w:rPr>
            </w:pPr>
            <w:r w:rsidRPr="004E2B72">
              <w:rPr>
                <w:rFonts w:cs="Arial"/>
              </w:rPr>
              <w:t xml:space="preserve">X. </w:t>
            </w:r>
            <w:r w:rsidR="00CB3204" w:rsidRPr="004E2B72">
              <w:rPr>
                <w:rFonts w:cs="Arial"/>
              </w:rPr>
              <w:t xml:space="preserve">Poplatky za řešení jako </w:t>
            </w:r>
            <w:r w:rsidR="000436CD" w:rsidRPr="004E2B72">
              <w:rPr>
                <w:rFonts w:cs="Arial"/>
              </w:rPr>
              <w:t>služb</w:t>
            </w:r>
            <w:r w:rsidR="00CB3204" w:rsidRPr="004E2B72">
              <w:rPr>
                <w:rFonts w:cs="Arial"/>
              </w:rPr>
              <w:t>a</w:t>
            </w:r>
            <w:r w:rsidR="000436CD" w:rsidRPr="004E2B72">
              <w:rPr>
                <w:rFonts w:cs="Arial"/>
              </w:rPr>
              <w:t xml:space="preserve"> </w:t>
            </w:r>
            <w:r w:rsidRPr="004E2B72">
              <w:rPr>
                <w:rFonts w:cs="Arial"/>
              </w:rPr>
              <w:t xml:space="preserve">(pouze </w:t>
            </w:r>
            <w:r w:rsidR="00CB3204" w:rsidRPr="004E2B72">
              <w:rPr>
                <w:rFonts w:cs="Arial"/>
              </w:rPr>
              <w:t>Cloud</w:t>
            </w:r>
            <w:r w:rsidRPr="004E2B72">
              <w:rPr>
                <w:rFonts w:cs="Arial"/>
              </w:rPr>
              <w:t>)</w:t>
            </w:r>
          </w:p>
        </w:tc>
        <w:tc>
          <w:tcPr>
            <w:tcW w:w="1418" w:type="dxa"/>
            <w:shd w:val="clear" w:color="auto" w:fill="00B050"/>
          </w:tcPr>
          <w:p w14:paraId="05C7AE41"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26771225"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37A50268" w14:textId="6489305B" w:rsidR="00406938" w:rsidRPr="004E2B72" w:rsidRDefault="00406938" w:rsidP="00073E78">
            <w:pPr>
              <w:spacing w:after="0"/>
              <w:jc w:val="both"/>
              <w:rPr>
                <w:rFonts w:cs="Arial"/>
                <w:b w:val="0"/>
              </w:rPr>
            </w:pPr>
            <w:r w:rsidRPr="004E2B72">
              <w:rPr>
                <w:rFonts w:cs="Arial"/>
              </w:rPr>
              <w:t xml:space="preserve">Z. </w:t>
            </w:r>
            <w:r w:rsidR="00880E65" w:rsidRPr="004E2B72">
              <w:rPr>
                <w:rFonts w:cs="Arial"/>
              </w:rPr>
              <w:t xml:space="preserve">Ostatní, k fázi životního cyklu nepřiřaditelné </w:t>
            </w:r>
            <w:r w:rsidR="00CB3204" w:rsidRPr="004E2B72">
              <w:rPr>
                <w:rFonts w:cs="Arial"/>
              </w:rPr>
              <w:t xml:space="preserve">(režijní) </w:t>
            </w:r>
            <w:r w:rsidR="00880E65" w:rsidRPr="004E2B72">
              <w:rPr>
                <w:rFonts w:cs="Arial"/>
              </w:rPr>
              <w:t>náklady</w:t>
            </w:r>
          </w:p>
        </w:tc>
        <w:tc>
          <w:tcPr>
            <w:tcW w:w="1418" w:type="dxa"/>
            <w:shd w:val="clear" w:color="auto" w:fill="C00000"/>
          </w:tcPr>
          <w:p w14:paraId="505A1623"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18FA209E"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40FFCEFD" w14:textId="77777777" w:rsidR="00406938" w:rsidRPr="004E2B72" w:rsidRDefault="00406938" w:rsidP="00073E78">
            <w:pPr>
              <w:spacing w:after="0"/>
              <w:jc w:val="both"/>
              <w:rPr>
                <w:rFonts w:cs="Arial"/>
              </w:rPr>
            </w:pPr>
            <w:r w:rsidRPr="004E2B72">
              <w:rPr>
                <w:rFonts w:cs="Arial"/>
              </w:rPr>
              <w:t>Celkové TCO projektu (5let)</w:t>
            </w:r>
          </w:p>
        </w:tc>
        <w:tc>
          <w:tcPr>
            <w:tcW w:w="1418" w:type="dxa"/>
          </w:tcPr>
          <w:p w14:paraId="30B48692" w14:textId="50C2D66A"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r>
    </w:tbl>
    <w:p w14:paraId="2B6E61F0" w14:textId="77777777" w:rsidR="001A1855" w:rsidRPr="004E2B72" w:rsidRDefault="001A1855" w:rsidP="00073E78">
      <w:pPr>
        <w:tabs>
          <w:tab w:val="clear" w:pos="284"/>
          <w:tab w:val="clear" w:pos="567"/>
          <w:tab w:val="clear" w:pos="851"/>
          <w:tab w:val="clear" w:pos="1134"/>
          <w:tab w:val="clear" w:pos="1418"/>
          <w:tab w:val="clear" w:pos="9072"/>
        </w:tabs>
        <w:spacing w:after="0"/>
        <w:jc w:val="both"/>
        <w:rPr>
          <w:rFonts w:cs="Arial"/>
          <w:szCs w:val="22"/>
        </w:rPr>
      </w:pPr>
    </w:p>
    <w:p w14:paraId="474D318B" w14:textId="77777777" w:rsidR="002204AA" w:rsidRDefault="002204AA" w:rsidP="00073E78">
      <w:pPr>
        <w:jc w:val="both"/>
      </w:pPr>
      <w:r>
        <w:t xml:space="preserve">Náklady nákupního procesu je možno pominout - jednak bývají v porovnání s pořizovací hodnotou zanedbatelné, jednak se obtížně zjišťují, nebyly-li zúčtovány do hodnoty řešení jakožto majetku. </w:t>
      </w:r>
    </w:p>
    <w:p w14:paraId="7CD31BF1" w14:textId="4C5DD8A6" w:rsidR="00DC49EA" w:rsidRPr="004E2B72" w:rsidRDefault="00613CCF" w:rsidP="00073E78">
      <w:pPr>
        <w:jc w:val="both"/>
      </w:pPr>
      <w:r w:rsidRPr="004E2B72">
        <w:t>Pro takovouto srovnávací studii a z ní vyplývající doporučení jsou stejně nebo více důležité hodnoty jednotlivých nákladových kategorií než celkový souhrnný ukazatel.</w:t>
      </w:r>
    </w:p>
    <w:p w14:paraId="49E3D633" w14:textId="717AD8E4" w:rsidR="00DC49EA" w:rsidRPr="004E2B72" w:rsidRDefault="00DC49EA" w:rsidP="00073E78">
      <w:pPr>
        <w:pStyle w:val="Nadpis2"/>
        <w:jc w:val="both"/>
        <w:rPr>
          <w:rFonts w:cs="Arial"/>
        </w:rPr>
      </w:pPr>
      <w:bookmarkStart w:id="27" w:name="_Ref115780534"/>
      <w:bookmarkStart w:id="28" w:name="_Toc120784677"/>
      <w:r w:rsidRPr="004E2B72">
        <w:rPr>
          <w:rFonts w:cs="Arial"/>
        </w:rPr>
        <w:t xml:space="preserve">Posuzování efektivity </w:t>
      </w:r>
      <w:r w:rsidR="00003318" w:rsidRPr="004E2B72">
        <w:rPr>
          <w:rFonts w:cs="Arial"/>
        </w:rPr>
        <w:t xml:space="preserve">variant </w:t>
      </w:r>
      <w:r w:rsidRPr="004E2B72">
        <w:rPr>
          <w:rFonts w:cs="Arial"/>
        </w:rPr>
        <w:t>nových ICT investic</w:t>
      </w:r>
      <w:bookmarkEnd w:id="27"/>
      <w:bookmarkEnd w:id="28"/>
    </w:p>
    <w:p w14:paraId="2F7AEA20" w14:textId="01AC7283" w:rsidR="00613CCF" w:rsidRPr="00C80226" w:rsidRDefault="00613CCF" w:rsidP="00C80226">
      <w:pPr>
        <w:jc w:val="both"/>
      </w:pPr>
      <w:r w:rsidRPr="00C80226">
        <w:t>V tomto scénáři se TCO využije na podporu informovaného investičního rozhodnutí o nejlepší variantě dalšího rozvoje posuzovaného řešení.</w:t>
      </w:r>
    </w:p>
    <w:p w14:paraId="4FB1AE95" w14:textId="3C97461B" w:rsidR="000F25FC" w:rsidRPr="00C80226" w:rsidRDefault="000F25FC" w:rsidP="00C80226">
      <w:pPr>
        <w:jc w:val="both"/>
      </w:pPr>
      <w:r w:rsidRPr="00C80226">
        <w:t>Posuzování variant řešení pomocí TCO se hodí v případě, že rozsah funkčních a ne-funkčních požadavků, zajišťovaných posuzovanými variantami je totožný, liší se pouze vlastnosti takových řešení a s nimi spojené náklady. Pokud by některé varianty řešení plnily požadavky zadavatele omezeně, je nutno pro porovnání zvolit metody, beroucí v úvahu vedle nákladů variant také jimi dosahovanou míru přínosů a porovnávající tedy u jednotlivých variant poměr přínosů a nákladů. Takovými metodami jsou například Cost-Benefit Analysis (CBA) nebo Business Case (BC).</w:t>
      </w:r>
    </w:p>
    <w:p w14:paraId="23A15393" w14:textId="57B58A24" w:rsidR="00E61690" w:rsidRPr="00C80226" w:rsidRDefault="006513B7" w:rsidP="00C80226">
      <w:pPr>
        <w:jc w:val="both"/>
      </w:pPr>
      <w:r w:rsidRPr="00C80226">
        <w:t>Pokud jsou všechny posuzované varianty řešení plánovány provozovat On-Premise, tj. na vlastní instalaci úřadu, pak n</w:t>
      </w:r>
      <w:r w:rsidR="00E61690" w:rsidRPr="00C80226">
        <w:t xml:space="preserve">a rozhodování o </w:t>
      </w:r>
      <w:r w:rsidRPr="00C80226">
        <w:t xml:space="preserve">volbě nejvýhodnější </w:t>
      </w:r>
      <w:r w:rsidR="00E61690" w:rsidRPr="00C80226">
        <w:t>variant</w:t>
      </w:r>
      <w:r w:rsidRPr="00C80226">
        <w:t>y</w:t>
      </w:r>
      <w:r w:rsidR="00E61690" w:rsidRPr="00C80226">
        <w:t xml:space="preserve"> obvykle nemají podstatnou roli režie, správní </w:t>
      </w:r>
      <w:r w:rsidR="009B3AE2" w:rsidRPr="00C80226">
        <w:t xml:space="preserve">režie </w:t>
      </w:r>
      <w:r w:rsidR="00E61690" w:rsidRPr="00C80226">
        <w:t>v žádném případě a provozní jenom výjimečně</w:t>
      </w:r>
      <w:r w:rsidRPr="00C80226">
        <w:t>. P</w:t>
      </w:r>
      <w:r w:rsidR="00E61690" w:rsidRPr="00C80226">
        <w:t>roto jsou z modelu TCO pro toto použití vyřazeny, viz červené pole v tabulce níže. Všechny ostatní nákladové kategorie je do posuzování výhodnosti řešení vhodné zahrnout, pokud mohou nastat.</w:t>
      </w:r>
    </w:p>
    <w:p w14:paraId="2575D904" w14:textId="79E73D10" w:rsidR="00270F1F" w:rsidRPr="00C80226" w:rsidRDefault="00270F1F" w:rsidP="00C80226">
      <w:pPr>
        <w:jc w:val="both"/>
      </w:pPr>
      <w:r w:rsidRPr="00C80226">
        <w:t>Pokud je alespoň jedna z variant určena</w:t>
      </w:r>
      <w:r w:rsidR="001F7B0C" w:rsidRPr="00C80226">
        <w:t>, plně nebo byť jenom částečně,</w:t>
      </w:r>
      <w:r w:rsidRPr="00C80226">
        <w:t xml:space="preserve"> k externímu provozování (Hosting, Housing</w:t>
      </w:r>
      <w:r w:rsidR="001F7B0C" w:rsidRPr="00C80226">
        <w:t>, IaaS, PaaS</w:t>
      </w:r>
      <w:r w:rsidRPr="00C80226">
        <w:t>) nebo dokonce k dodávce jako služba (SaaS) je nutné u interních variant provozní režie co nejlépe odhadnout (viz doporučení v úvodu metodiky, kap. 2.1), neboť v cenách externích služeb budou zahrnuty též. Správní režie Z2 není třeba uvažovat, protože nastanou i v případě externě dodávaných služeb.</w:t>
      </w:r>
    </w:p>
    <w:p w14:paraId="14B0016E" w14:textId="1D52C2C5" w:rsidR="00613CCF" w:rsidRPr="004E2B72" w:rsidRDefault="00613CCF" w:rsidP="00C80226">
      <w:pPr>
        <w:jc w:val="both"/>
        <w:rPr>
          <w:rFonts w:cs="Arial"/>
          <w:szCs w:val="22"/>
        </w:rPr>
      </w:pPr>
      <w:r w:rsidRPr="00C80226">
        <w:t>Obvykle</w:t>
      </w:r>
      <w:r w:rsidRPr="004E2B72">
        <w:rPr>
          <w:rFonts w:cs="Arial"/>
          <w:szCs w:val="22"/>
        </w:rPr>
        <w:t xml:space="preserve"> se p</w:t>
      </w:r>
      <w:r w:rsidR="00DC49EA" w:rsidRPr="004E2B72">
        <w:rPr>
          <w:rFonts w:cs="Arial"/>
          <w:szCs w:val="22"/>
        </w:rPr>
        <w:t xml:space="preserve">orovnává </w:t>
      </w:r>
      <w:r w:rsidR="00880E65" w:rsidRPr="004E2B72">
        <w:rPr>
          <w:rFonts w:cs="Arial"/>
          <w:szCs w:val="22"/>
        </w:rPr>
        <w:t xml:space="preserve">náklad vybudování a </w:t>
      </w:r>
      <w:r w:rsidR="00DC49EA" w:rsidRPr="004E2B72">
        <w:rPr>
          <w:rFonts w:cs="Arial"/>
          <w:szCs w:val="22"/>
        </w:rPr>
        <w:t>prvních 5</w:t>
      </w:r>
      <w:r w:rsidRPr="004E2B72">
        <w:rPr>
          <w:rFonts w:cs="Arial"/>
          <w:szCs w:val="22"/>
        </w:rPr>
        <w:t xml:space="preserve"> (nebo více)</w:t>
      </w:r>
      <w:r w:rsidR="00DC49EA" w:rsidRPr="004E2B72">
        <w:rPr>
          <w:rFonts w:cs="Arial"/>
          <w:szCs w:val="22"/>
        </w:rPr>
        <w:t xml:space="preserve"> let života </w:t>
      </w:r>
      <w:r w:rsidR="00880E65" w:rsidRPr="004E2B72">
        <w:rPr>
          <w:rFonts w:cs="Arial"/>
          <w:szCs w:val="22"/>
        </w:rPr>
        <w:t xml:space="preserve">(užívaní služby, provozu, údržby a rozvoje) </w:t>
      </w:r>
      <w:r w:rsidR="00DC49EA" w:rsidRPr="004E2B72">
        <w:rPr>
          <w:rFonts w:cs="Arial"/>
          <w:szCs w:val="22"/>
        </w:rPr>
        <w:t>nového řešení</w:t>
      </w:r>
      <w:r w:rsidRPr="004E2B72">
        <w:rPr>
          <w:rFonts w:cs="Arial"/>
          <w:szCs w:val="22"/>
        </w:rPr>
        <w:t xml:space="preserve"> (i několika jeho variant)</w:t>
      </w:r>
      <w:r w:rsidR="00DC49EA" w:rsidRPr="004E2B72">
        <w:rPr>
          <w:rFonts w:cs="Arial"/>
          <w:szCs w:val="22"/>
        </w:rPr>
        <w:t xml:space="preserve"> proti </w:t>
      </w:r>
      <w:r w:rsidRPr="004E2B72">
        <w:rPr>
          <w:rFonts w:cs="Arial"/>
          <w:szCs w:val="22"/>
        </w:rPr>
        <w:t>stejnému období</w:t>
      </w:r>
      <w:r w:rsidR="00DC49EA" w:rsidRPr="004E2B72">
        <w:rPr>
          <w:rFonts w:cs="Arial"/>
          <w:szCs w:val="22"/>
        </w:rPr>
        <w:t xml:space="preserve"> </w:t>
      </w:r>
      <w:r w:rsidR="00880E65" w:rsidRPr="004E2B72">
        <w:rPr>
          <w:rFonts w:cs="Arial"/>
          <w:szCs w:val="22"/>
        </w:rPr>
        <w:t xml:space="preserve">případného </w:t>
      </w:r>
      <w:r w:rsidR="00DC49EA" w:rsidRPr="004E2B72">
        <w:rPr>
          <w:rFonts w:cs="Arial"/>
          <w:szCs w:val="22"/>
        </w:rPr>
        <w:t>dalšího života</w:t>
      </w:r>
      <w:r w:rsidRPr="004E2B72">
        <w:rPr>
          <w:rFonts w:cs="Arial"/>
          <w:szCs w:val="22"/>
        </w:rPr>
        <w:t xml:space="preserve"> (</w:t>
      </w:r>
      <w:r w:rsidR="00880E65" w:rsidRPr="004E2B72">
        <w:rPr>
          <w:rFonts w:cs="Arial"/>
          <w:szCs w:val="22"/>
        </w:rPr>
        <w:t xml:space="preserve">užívaní služby, provozu, </w:t>
      </w:r>
      <w:r w:rsidRPr="004E2B72">
        <w:rPr>
          <w:rFonts w:cs="Arial"/>
          <w:szCs w:val="22"/>
        </w:rPr>
        <w:t>údržby a rozvoje</w:t>
      </w:r>
      <w:r w:rsidR="009B3AE2" w:rsidRPr="004E2B72">
        <w:rPr>
          <w:rFonts w:cs="Arial"/>
          <w:szCs w:val="22"/>
        </w:rPr>
        <w:t>)</w:t>
      </w:r>
      <w:r w:rsidR="00DC49EA" w:rsidRPr="004E2B72">
        <w:rPr>
          <w:rFonts w:cs="Arial"/>
          <w:szCs w:val="22"/>
        </w:rPr>
        <w:t xml:space="preserve"> stávajícího řešení</w:t>
      </w:r>
      <w:r w:rsidRPr="004E2B72">
        <w:rPr>
          <w:rFonts w:cs="Arial"/>
          <w:szCs w:val="22"/>
        </w:rPr>
        <w:t xml:space="preserve">. </w:t>
      </w:r>
    </w:p>
    <w:p w14:paraId="48A97643" w14:textId="57096594" w:rsidR="00613CCF" w:rsidRPr="00C80226" w:rsidRDefault="00613CCF" w:rsidP="00C80226">
      <w:pPr>
        <w:jc w:val="both"/>
      </w:pPr>
      <w:r w:rsidRPr="00C80226">
        <w:t>Podmínkou srovnatelnosti variant je</w:t>
      </w:r>
      <w:r w:rsidR="00DC49EA" w:rsidRPr="00C80226">
        <w:t xml:space="preserve">, že i stávající řešení </w:t>
      </w:r>
      <w:r w:rsidRPr="00C80226">
        <w:t xml:space="preserve">bude </w:t>
      </w:r>
      <w:r w:rsidR="00DC49EA" w:rsidRPr="00C80226">
        <w:t>rozšiřováno tak, aby obě řešení naplňovala totožné byznys požadavky veřejné služby agendy nebo úřadu. Při předpokládaném nárůstu funkčnosti, které předchozí řešení není schopno za žádnou cenu</w:t>
      </w:r>
      <w:r w:rsidRPr="00C80226">
        <w:t xml:space="preserve"> (pokud taková situace hrozí)</w:t>
      </w:r>
      <w:r w:rsidR="00DC49EA" w:rsidRPr="00C80226">
        <w:t xml:space="preserve">, je potřeba posuzování rozdělit do dvou částí: </w:t>
      </w:r>
    </w:p>
    <w:p w14:paraId="402DE969" w14:textId="77777777" w:rsidR="00613CCF" w:rsidRPr="004E2B72" w:rsidRDefault="00DC49EA" w:rsidP="00073E78">
      <w:pPr>
        <w:pStyle w:val="Odstavecseseznamem"/>
        <w:numPr>
          <w:ilvl w:val="0"/>
          <w:numId w:val="36"/>
        </w:numPr>
        <w:tabs>
          <w:tab w:val="clear" w:pos="284"/>
          <w:tab w:val="clear" w:pos="567"/>
          <w:tab w:val="clear" w:pos="851"/>
          <w:tab w:val="clear" w:pos="1134"/>
          <w:tab w:val="clear" w:pos="1418"/>
          <w:tab w:val="clear" w:pos="9072"/>
        </w:tabs>
        <w:spacing w:after="0"/>
        <w:jc w:val="both"/>
        <w:rPr>
          <w:rFonts w:cs="Arial"/>
          <w:szCs w:val="22"/>
        </w:rPr>
      </w:pPr>
      <w:r w:rsidRPr="004E2B72">
        <w:rPr>
          <w:rFonts w:cs="Arial"/>
          <w:szCs w:val="22"/>
        </w:rPr>
        <w:t xml:space="preserve">náklady TCO na dosažení shodné (stávající) funkcionality </w:t>
      </w:r>
    </w:p>
    <w:p w14:paraId="449D40DD" w14:textId="40033B5E" w:rsidR="00DC49EA" w:rsidRPr="004E2B72" w:rsidRDefault="00DC49EA" w:rsidP="00073E78">
      <w:pPr>
        <w:pStyle w:val="Odstavecseseznamem"/>
        <w:numPr>
          <w:ilvl w:val="0"/>
          <w:numId w:val="36"/>
        </w:numPr>
        <w:tabs>
          <w:tab w:val="clear" w:pos="284"/>
          <w:tab w:val="clear" w:pos="567"/>
          <w:tab w:val="clear" w:pos="851"/>
          <w:tab w:val="clear" w:pos="1134"/>
          <w:tab w:val="clear" w:pos="1418"/>
          <w:tab w:val="clear" w:pos="9072"/>
        </w:tabs>
        <w:spacing w:after="0"/>
        <w:jc w:val="both"/>
        <w:rPr>
          <w:rFonts w:cs="Arial"/>
          <w:szCs w:val="22"/>
        </w:rPr>
      </w:pPr>
      <w:r w:rsidRPr="004E2B72">
        <w:rPr>
          <w:rFonts w:cs="Arial"/>
          <w:szCs w:val="22"/>
        </w:rPr>
        <w:t xml:space="preserve">náklady na zabezpečení nové </w:t>
      </w:r>
      <w:r w:rsidR="00613CCF" w:rsidRPr="004E2B72">
        <w:rPr>
          <w:rFonts w:cs="Arial"/>
          <w:szCs w:val="22"/>
        </w:rPr>
        <w:t xml:space="preserve">požadované </w:t>
      </w:r>
      <w:r w:rsidRPr="004E2B72">
        <w:rPr>
          <w:rFonts w:cs="Arial"/>
          <w:szCs w:val="22"/>
        </w:rPr>
        <w:t>funkcionality</w:t>
      </w:r>
      <w:r w:rsidR="00990321" w:rsidRPr="004E2B72">
        <w:rPr>
          <w:rFonts w:cs="Arial"/>
          <w:szCs w:val="22"/>
        </w:rPr>
        <w:t xml:space="preserve"> (s možnou kombinací starého a doplňkového řešení)</w:t>
      </w:r>
      <w:r w:rsidRPr="004E2B72">
        <w:rPr>
          <w:rFonts w:cs="Arial"/>
          <w:szCs w:val="22"/>
        </w:rPr>
        <w:t>.</w:t>
      </w:r>
    </w:p>
    <w:p w14:paraId="307E7791" w14:textId="77777777" w:rsidR="00E61690" w:rsidRPr="004E2B72" w:rsidRDefault="00E61690" w:rsidP="00073E78">
      <w:pPr>
        <w:tabs>
          <w:tab w:val="clear" w:pos="284"/>
          <w:tab w:val="clear" w:pos="567"/>
          <w:tab w:val="clear" w:pos="851"/>
          <w:tab w:val="clear" w:pos="1134"/>
          <w:tab w:val="clear" w:pos="1418"/>
          <w:tab w:val="clear" w:pos="9072"/>
        </w:tabs>
        <w:spacing w:after="0"/>
        <w:jc w:val="both"/>
        <w:rPr>
          <w:rFonts w:cs="Arial"/>
          <w:szCs w:val="22"/>
        </w:rPr>
      </w:pPr>
    </w:p>
    <w:p w14:paraId="5FCE2C0F" w14:textId="6A8173CC" w:rsidR="00DC49EA" w:rsidRPr="00C80226" w:rsidRDefault="00DC49EA" w:rsidP="00C80226">
      <w:pPr>
        <w:jc w:val="both"/>
      </w:pPr>
      <w:r w:rsidRPr="00C80226">
        <w:t xml:space="preserve">Součástí </w:t>
      </w:r>
      <w:r w:rsidR="00613CCF" w:rsidRPr="00C80226">
        <w:t xml:space="preserve">investičního záměru </w:t>
      </w:r>
      <w:r w:rsidRPr="00C80226">
        <w:t xml:space="preserve">nového řešení je i </w:t>
      </w:r>
      <w:r w:rsidR="00613CCF" w:rsidRPr="00C80226">
        <w:t>převzetí části nákladů původního řešení, spojených s archivací</w:t>
      </w:r>
      <w:r w:rsidRPr="00C80226">
        <w:t>, konzervac</w:t>
      </w:r>
      <w:r w:rsidR="00613CCF" w:rsidRPr="00C80226">
        <w:t>í</w:t>
      </w:r>
      <w:r w:rsidRPr="00C80226">
        <w:t xml:space="preserve"> nebo ukončení</w:t>
      </w:r>
      <w:r w:rsidR="00613CCF" w:rsidRPr="00C80226">
        <w:t>m</w:t>
      </w:r>
      <w:r w:rsidRPr="00C80226">
        <w:t xml:space="preserve"> života předchozího řešení a migrac</w:t>
      </w:r>
      <w:r w:rsidR="00613CCF" w:rsidRPr="00C80226">
        <w:t>í</w:t>
      </w:r>
      <w:r w:rsidRPr="00C80226">
        <w:t xml:space="preserve"> dat</w:t>
      </w:r>
      <w:r w:rsidR="00E61690" w:rsidRPr="00C80226">
        <w:t xml:space="preserve">, </w:t>
      </w:r>
      <w:r w:rsidR="00270F1F" w:rsidRPr="00C80226">
        <w:t>které je součástí fáze C-Implementace řešení</w:t>
      </w:r>
      <w:r w:rsidRPr="00C80226">
        <w:t>.</w:t>
      </w:r>
    </w:p>
    <w:p w14:paraId="48E8ADA4" w14:textId="5B4DE202" w:rsidR="00270F1F" w:rsidRPr="00C80226" w:rsidRDefault="00270F1F" w:rsidP="00C80226">
      <w:pPr>
        <w:jc w:val="both"/>
      </w:pPr>
      <w:r w:rsidRPr="00C80226">
        <w:t>Součástí posuzování výhodnosti variant řešení by mělo být i posouzení nákladů spojených s archivací, konzervací nebo ukončením života posuzovaného řešení a s přípravou na migraci jeho dat a to i přesto, že byt k této životní fázi mohlo dojít až za déle než 5 let.</w:t>
      </w:r>
    </w:p>
    <w:p w14:paraId="0B975FF6" w14:textId="7547224A" w:rsidR="000505F6" w:rsidRPr="00C80226" w:rsidRDefault="00DC49EA" w:rsidP="00C80226">
      <w:pPr>
        <w:jc w:val="both"/>
      </w:pPr>
      <w:r w:rsidRPr="00C80226">
        <w:t xml:space="preserve">Vzhledem k rozsahu </w:t>
      </w:r>
      <w:r w:rsidR="00613CCF" w:rsidRPr="00C80226">
        <w:t xml:space="preserve">obvykle </w:t>
      </w:r>
      <w:r w:rsidRPr="00C80226">
        <w:t xml:space="preserve">pouhých 5 let </w:t>
      </w:r>
      <w:r w:rsidR="00613CCF" w:rsidRPr="00C80226">
        <w:t xml:space="preserve">a </w:t>
      </w:r>
      <w:r w:rsidR="000505F6" w:rsidRPr="00C80226">
        <w:t xml:space="preserve">k </w:t>
      </w:r>
      <w:r w:rsidR="00613CCF" w:rsidRPr="00C80226">
        <w:t>velmi nízký</w:t>
      </w:r>
      <w:r w:rsidR="000505F6" w:rsidRPr="00C80226">
        <w:t>m</w:t>
      </w:r>
      <w:r w:rsidR="00613CCF" w:rsidRPr="00C80226">
        <w:t xml:space="preserve"> diskontní</w:t>
      </w:r>
      <w:r w:rsidR="000505F6" w:rsidRPr="00C80226">
        <w:t>m</w:t>
      </w:r>
      <w:r w:rsidR="00613CCF" w:rsidRPr="00C80226">
        <w:t xml:space="preserve"> saz</w:t>
      </w:r>
      <w:r w:rsidR="000505F6" w:rsidRPr="00C80226">
        <w:t>bám</w:t>
      </w:r>
      <w:r w:rsidR="00613CCF" w:rsidRPr="00C80226">
        <w:rPr>
          <w:vertAlign w:val="superscript"/>
        </w:rPr>
        <w:footnoteReference w:id="25"/>
      </w:r>
      <w:r w:rsidR="000505F6" w:rsidRPr="00C80226">
        <w:t xml:space="preserve">, </w:t>
      </w:r>
      <w:r w:rsidRPr="00C80226">
        <w:t>neb</w:t>
      </w:r>
      <w:r w:rsidR="000505F6" w:rsidRPr="00C80226">
        <w:t>ylo v minulosti</w:t>
      </w:r>
      <w:r w:rsidRPr="00C80226">
        <w:t xml:space="preserve"> nutné diskontování a použití NPV.</w:t>
      </w:r>
      <w:r w:rsidR="00E61690" w:rsidRPr="00C80226">
        <w:t xml:space="preserve"> </w:t>
      </w:r>
      <w:r w:rsidR="000505F6" w:rsidRPr="00C80226">
        <w:t>Vzhledem k aktuální inflaci a vysokým diskontním sazbám roku 2022 bude pravděpodobně v řadě způsobů užití TCO diskontování potřebné.</w:t>
      </w:r>
    </w:p>
    <w:p w14:paraId="73C5A599" w14:textId="742D5EB6" w:rsidR="00DC49EA" w:rsidRPr="00C80226" w:rsidRDefault="00DC49EA" w:rsidP="00C80226">
      <w:pPr>
        <w:jc w:val="both"/>
      </w:pPr>
      <w:r w:rsidRPr="00C80226">
        <w:t>Vzhledem k porovnávání téhož rozsahu řešení po stejnou dobu není nutný přepočet na relativní ukazatele. Při současné změně počtu uživatelů je lepší přepočet TCO/uživatel.</w:t>
      </w:r>
    </w:p>
    <w:p w14:paraId="7768DE92" w14:textId="77777777" w:rsidR="00406938" w:rsidRPr="004E2B72" w:rsidRDefault="00406938" w:rsidP="00073E78">
      <w:pPr>
        <w:tabs>
          <w:tab w:val="clear" w:pos="284"/>
          <w:tab w:val="clear" w:pos="567"/>
          <w:tab w:val="clear" w:pos="851"/>
          <w:tab w:val="clear" w:pos="1134"/>
          <w:tab w:val="clear" w:pos="1418"/>
          <w:tab w:val="clear" w:pos="9072"/>
        </w:tabs>
        <w:spacing w:after="0"/>
        <w:jc w:val="both"/>
        <w:rPr>
          <w:rFonts w:cs="Arial"/>
          <w:szCs w:val="22"/>
        </w:rPr>
      </w:pPr>
    </w:p>
    <w:tbl>
      <w:tblPr>
        <w:tblStyle w:val="Style1"/>
        <w:tblW w:w="9611" w:type="dxa"/>
        <w:tblInd w:w="-5" w:type="dxa"/>
        <w:tblLook w:val="04A0" w:firstRow="1" w:lastRow="0" w:firstColumn="1" w:lastColumn="0" w:noHBand="0" w:noVBand="1"/>
      </w:tblPr>
      <w:tblGrid>
        <w:gridCol w:w="8193"/>
        <w:gridCol w:w="709"/>
        <w:gridCol w:w="709"/>
      </w:tblGrid>
      <w:tr w:rsidR="00406938" w:rsidRPr="004E2B72" w14:paraId="7F0905D1" w14:textId="77777777" w:rsidTr="0008366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93" w:type="dxa"/>
          </w:tcPr>
          <w:p w14:paraId="70A10715" w14:textId="69C003A8" w:rsidR="00406938" w:rsidRPr="004E2B72" w:rsidRDefault="00406938" w:rsidP="00073E78">
            <w:pPr>
              <w:spacing w:after="0"/>
              <w:jc w:val="both"/>
              <w:rPr>
                <w:rFonts w:cs="Arial"/>
              </w:rPr>
            </w:pPr>
            <w:r w:rsidRPr="004E2B72">
              <w:rPr>
                <w:rFonts w:cs="Arial"/>
              </w:rPr>
              <w:t xml:space="preserve">Souhrnná položka modelu TCO </w:t>
            </w:r>
            <w:r w:rsidR="003D6E0A" w:rsidRPr="004E2B72">
              <w:rPr>
                <w:rFonts w:cs="Arial"/>
              </w:rPr>
              <w:t>- nákladová kategorie</w:t>
            </w:r>
          </w:p>
          <w:p w14:paraId="6C99A152" w14:textId="77777777" w:rsidR="00406938" w:rsidRPr="004E2B72" w:rsidRDefault="00406938" w:rsidP="00073E78">
            <w:pPr>
              <w:spacing w:after="0"/>
              <w:jc w:val="both"/>
              <w:rPr>
                <w:rFonts w:cs="Arial"/>
              </w:rPr>
            </w:pPr>
            <w:r w:rsidRPr="004E2B72">
              <w:rPr>
                <w:rFonts w:cs="Arial"/>
              </w:rPr>
              <w:t>(5 let)</w:t>
            </w:r>
          </w:p>
        </w:tc>
        <w:tc>
          <w:tcPr>
            <w:tcW w:w="1418" w:type="dxa"/>
            <w:gridSpan w:val="2"/>
          </w:tcPr>
          <w:p w14:paraId="5CCEA7D2" w14:textId="77777777" w:rsidR="00406938" w:rsidRPr="004E2B72" w:rsidRDefault="00406938" w:rsidP="00073E78">
            <w:pPr>
              <w:spacing w:after="0"/>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cs="Arial"/>
              </w:rPr>
              <w:t>Relevance pro šetření</w:t>
            </w:r>
          </w:p>
        </w:tc>
      </w:tr>
      <w:tr w:rsidR="00406938" w:rsidRPr="004E2B72" w14:paraId="03E90C83"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18311DA9" w14:textId="11F43D45" w:rsidR="00406938" w:rsidRPr="004E2B72" w:rsidRDefault="00406938" w:rsidP="00073E78">
            <w:pPr>
              <w:spacing w:after="0"/>
              <w:jc w:val="both"/>
              <w:rPr>
                <w:rFonts w:cs="Arial"/>
                <w:b w:val="0"/>
              </w:rPr>
            </w:pPr>
            <w:r w:rsidRPr="004E2B72">
              <w:rPr>
                <w:rFonts w:cs="Arial"/>
              </w:rPr>
              <w:t>A. P</w:t>
            </w:r>
            <w:r w:rsidR="00CB3204" w:rsidRPr="004E2B72">
              <w:rPr>
                <w:rFonts w:cs="Arial"/>
              </w:rPr>
              <w:t xml:space="preserve">lánování, </w:t>
            </w:r>
            <w:r w:rsidRPr="004E2B72">
              <w:rPr>
                <w:rFonts w:cs="Arial"/>
              </w:rPr>
              <w:t xml:space="preserve">analýzy, tvorba zadání, výběr řešení a dodavatele – náklady nákupního procesu </w:t>
            </w:r>
          </w:p>
        </w:tc>
        <w:tc>
          <w:tcPr>
            <w:tcW w:w="1418" w:type="dxa"/>
            <w:gridSpan w:val="2"/>
            <w:shd w:val="clear" w:color="auto" w:fill="00B050"/>
          </w:tcPr>
          <w:p w14:paraId="2F4BA441"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022C5121"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1E91A83A" w14:textId="4587464D" w:rsidR="00406938" w:rsidRPr="004E2B72" w:rsidRDefault="00406938" w:rsidP="00073E78">
            <w:pPr>
              <w:spacing w:after="0"/>
              <w:jc w:val="both"/>
              <w:rPr>
                <w:rFonts w:cs="Arial"/>
                <w:b w:val="0"/>
              </w:rPr>
            </w:pPr>
            <w:r w:rsidRPr="004E2B72">
              <w:rPr>
                <w:rFonts w:cs="Arial"/>
              </w:rPr>
              <w:t xml:space="preserve">B. Nákup SW a HW pro projekt (ne v případě </w:t>
            </w:r>
            <w:r w:rsidR="00CB3204" w:rsidRPr="004E2B72">
              <w:rPr>
                <w:rFonts w:cs="Arial"/>
              </w:rPr>
              <w:t>Cloud</w:t>
            </w:r>
            <w:r w:rsidRPr="004E2B72">
              <w:rPr>
                <w:rFonts w:cs="Arial"/>
              </w:rPr>
              <w:t>)</w:t>
            </w:r>
          </w:p>
        </w:tc>
        <w:tc>
          <w:tcPr>
            <w:tcW w:w="1418" w:type="dxa"/>
            <w:gridSpan w:val="2"/>
            <w:shd w:val="clear" w:color="auto" w:fill="00B050"/>
          </w:tcPr>
          <w:p w14:paraId="54EF7A1B"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73B09DC8"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79310101" w14:textId="6BD72948" w:rsidR="00406938" w:rsidRPr="004E2B72" w:rsidRDefault="00406938" w:rsidP="00073E78">
            <w:pPr>
              <w:spacing w:after="0"/>
              <w:jc w:val="both"/>
              <w:rPr>
                <w:rFonts w:cs="Arial"/>
                <w:b w:val="0"/>
                <w:bCs w:val="0"/>
              </w:rPr>
            </w:pPr>
            <w:r w:rsidRPr="004E2B72">
              <w:rPr>
                <w:rFonts w:cs="Arial"/>
              </w:rPr>
              <w:t>C. Analýza, vývoj, implementace</w:t>
            </w:r>
            <w:r w:rsidR="00CB3204" w:rsidRPr="004E2B72">
              <w:rPr>
                <w:rFonts w:cs="Arial"/>
              </w:rPr>
              <w:t>, integrace</w:t>
            </w:r>
            <w:r w:rsidRPr="004E2B72">
              <w:rPr>
                <w:rFonts w:cs="Arial"/>
              </w:rPr>
              <w:t xml:space="preserve"> a zkušební provoz </w:t>
            </w:r>
          </w:p>
        </w:tc>
        <w:tc>
          <w:tcPr>
            <w:tcW w:w="1418" w:type="dxa"/>
            <w:gridSpan w:val="2"/>
            <w:shd w:val="clear" w:color="auto" w:fill="00B050"/>
          </w:tcPr>
          <w:p w14:paraId="68006F09"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6CB279F6"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59A208FA" w14:textId="4FAA479C" w:rsidR="00406938" w:rsidRPr="004E2B72" w:rsidRDefault="00406938" w:rsidP="00073E78">
            <w:pPr>
              <w:spacing w:after="0"/>
              <w:jc w:val="both"/>
              <w:rPr>
                <w:rFonts w:cs="Arial"/>
                <w:b w:val="0"/>
                <w:bCs w:val="0"/>
              </w:rPr>
            </w:pPr>
            <w:r w:rsidRPr="004E2B72">
              <w:rPr>
                <w:rFonts w:cs="Arial"/>
              </w:rPr>
              <w:t xml:space="preserve">D. Provoz a podpora řešení (ne v případě </w:t>
            </w:r>
            <w:r w:rsidR="00CB3204" w:rsidRPr="004E2B72">
              <w:rPr>
                <w:rFonts w:cs="Arial"/>
              </w:rPr>
              <w:t>Cloud</w:t>
            </w:r>
            <w:r w:rsidRPr="004E2B72">
              <w:rPr>
                <w:rFonts w:cs="Arial"/>
              </w:rPr>
              <w:t>)</w:t>
            </w:r>
          </w:p>
        </w:tc>
        <w:tc>
          <w:tcPr>
            <w:tcW w:w="1418" w:type="dxa"/>
            <w:gridSpan w:val="2"/>
            <w:shd w:val="clear" w:color="auto" w:fill="00B050"/>
          </w:tcPr>
          <w:p w14:paraId="383F3A75"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5C74A065"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15FDBBF2" w14:textId="50ACBBD4" w:rsidR="00406938" w:rsidRPr="004E2B72" w:rsidRDefault="00406938" w:rsidP="00073E78">
            <w:pPr>
              <w:spacing w:after="0"/>
              <w:jc w:val="both"/>
              <w:rPr>
                <w:rFonts w:cs="Arial"/>
                <w:b w:val="0"/>
                <w:bCs w:val="0"/>
              </w:rPr>
            </w:pPr>
            <w:r w:rsidRPr="004E2B72">
              <w:rPr>
                <w:rFonts w:cs="Arial"/>
              </w:rPr>
              <w:t xml:space="preserve">E. </w:t>
            </w:r>
            <w:r w:rsidR="00CB3204" w:rsidRPr="004E2B72">
              <w:rPr>
                <w:rFonts w:cs="Arial"/>
              </w:rPr>
              <w:t>Ú</w:t>
            </w:r>
            <w:r w:rsidRPr="004E2B72">
              <w:rPr>
                <w:rFonts w:cs="Arial"/>
              </w:rPr>
              <w:t>držba</w:t>
            </w:r>
            <w:r w:rsidR="00CB3204" w:rsidRPr="004E2B72">
              <w:rPr>
                <w:rFonts w:cs="Arial"/>
              </w:rPr>
              <w:t>, opravy</w:t>
            </w:r>
            <w:r w:rsidRPr="004E2B72">
              <w:rPr>
                <w:rFonts w:cs="Arial"/>
              </w:rPr>
              <w:t xml:space="preserve"> a průběžné úpravy (ne v případě </w:t>
            </w:r>
            <w:r w:rsidR="00CB3204" w:rsidRPr="004E2B72">
              <w:rPr>
                <w:rFonts w:cs="Arial"/>
              </w:rPr>
              <w:t>Cloud</w:t>
            </w:r>
            <w:r w:rsidRPr="004E2B72">
              <w:rPr>
                <w:rFonts w:cs="Arial"/>
              </w:rPr>
              <w:t>)</w:t>
            </w:r>
          </w:p>
        </w:tc>
        <w:tc>
          <w:tcPr>
            <w:tcW w:w="1418" w:type="dxa"/>
            <w:gridSpan w:val="2"/>
            <w:shd w:val="clear" w:color="auto" w:fill="00B050"/>
          </w:tcPr>
          <w:p w14:paraId="421FE3D8"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6F3507CB"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013A351C" w14:textId="77777777" w:rsidR="00406938" w:rsidRPr="004E2B72" w:rsidRDefault="00406938" w:rsidP="00073E78">
            <w:pPr>
              <w:spacing w:after="0"/>
              <w:jc w:val="both"/>
              <w:rPr>
                <w:rFonts w:cs="Arial"/>
                <w:b w:val="0"/>
                <w:bCs w:val="0"/>
              </w:rPr>
            </w:pPr>
            <w:r w:rsidRPr="004E2B72">
              <w:rPr>
                <w:rFonts w:cs="Arial"/>
              </w:rPr>
              <w:t>F. Projekty postupné inovace a zlepšování (plánované)</w:t>
            </w:r>
          </w:p>
        </w:tc>
        <w:tc>
          <w:tcPr>
            <w:tcW w:w="1418" w:type="dxa"/>
            <w:gridSpan w:val="2"/>
            <w:shd w:val="clear" w:color="auto" w:fill="00B050"/>
          </w:tcPr>
          <w:p w14:paraId="311434A9"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7BCBE65F"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6078D843" w14:textId="77777777" w:rsidR="00406938" w:rsidRPr="004E2B72" w:rsidRDefault="00406938" w:rsidP="00073E78">
            <w:pPr>
              <w:spacing w:after="0"/>
              <w:jc w:val="both"/>
              <w:rPr>
                <w:rFonts w:cs="Arial"/>
                <w:b w:val="0"/>
                <w:bCs w:val="0"/>
              </w:rPr>
            </w:pPr>
            <w:r w:rsidRPr="004E2B72">
              <w:rPr>
                <w:rFonts w:cs="Arial"/>
              </w:rPr>
              <w:t>G. Projekty upgrade (pokud jsou plánovány)</w:t>
            </w:r>
          </w:p>
        </w:tc>
        <w:tc>
          <w:tcPr>
            <w:tcW w:w="1418" w:type="dxa"/>
            <w:gridSpan w:val="2"/>
            <w:shd w:val="clear" w:color="auto" w:fill="00B050"/>
          </w:tcPr>
          <w:p w14:paraId="170D7EF3"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429C4D56" w14:textId="77777777" w:rsidTr="0008366C">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5851D042" w14:textId="77777777" w:rsidR="00406938" w:rsidRPr="004E2B72" w:rsidRDefault="00406938" w:rsidP="00073E78">
            <w:pPr>
              <w:spacing w:after="0"/>
              <w:jc w:val="both"/>
              <w:rPr>
                <w:rFonts w:cs="Arial"/>
                <w:b w:val="0"/>
                <w:bCs w:val="0"/>
              </w:rPr>
            </w:pPr>
            <w:r w:rsidRPr="004E2B72">
              <w:rPr>
                <w:rFonts w:cs="Arial"/>
              </w:rPr>
              <w:t>H. Zvýšené náklady užívání řešení (pokud se vyskytnou)</w:t>
            </w:r>
          </w:p>
        </w:tc>
        <w:tc>
          <w:tcPr>
            <w:tcW w:w="1418" w:type="dxa"/>
            <w:gridSpan w:val="2"/>
            <w:shd w:val="clear" w:color="auto" w:fill="00B050"/>
          </w:tcPr>
          <w:p w14:paraId="55AF56A8"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658532DE" w14:textId="77777777" w:rsidTr="002813DA">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014FC213" w14:textId="2F5DE62E" w:rsidR="00406938" w:rsidRPr="004E2B72" w:rsidRDefault="00406938" w:rsidP="00073E78">
            <w:pPr>
              <w:spacing w:after="0"/>
              <w:jc w:val="both"/>
              <w:rPr>
                <w:rFonts w:cs="Arial"/>
                <w:b w:val="0"/>
              </w:rPr>
            </w:pPr>
            <w:r w:rsidRPr="004E2B72">
              <w:rPr>
                <w:rFonts w:cs="Arial"/>
              </w:rPr>
              <w:t xml:space="preserve">I. </w:t>
            </w:r>
            <w:r w:rsidR="00CB3204" w:rsidRPr="004E2B72">
              <w:rPr>
                <w:rFonts w:cs="Arial"/>
              </w:rPr>
              <w:t>Útlum, k</w:t>
            </w:r>
            <w:r w:rsidRPr="004E2B72">
              <w:rPr>
                <w:rFonts w:cs="Arial"/>
              </w:rPr>
              <w:t>onzervace a ukončení řešení</w:t>
            </w:r>
            <w:r w:rsidR="00990321" w:rsidRPr="004E2B72">
              <w:rPr>
                <w:rFonts w:cs="Arial"/>
              </w:rPr>
              <w:t xml:space="preserve"> (</w:t>
            </w:r>
            <w:r w:rsidR="00990321" w:rsidRPr="000A2282">
              <w:rPr>
                <w:rFonts w:cs="Arial"/>
                <w:highlight w:val="yellow"/>
              </w:rPr>
              <w:t>pouze odvodit z nahrazovaného řešení)</w:t>
            </w:r>
          </w:p>
        </w:tc>
        <w:tc>
          <w:tcPr>
            <w:tcW w:w="1418" w:type="dxa"/>
            <w:gridSpan w:val="2"/>
            <w:shd w:val="clear" w:color="auto" w:fill="00B050"/>
          </w:tcPr>
          <w:p w14:paraId="6BD5009B"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39B0E088" w14:textId="77777777" w:rsidTr="00880E65">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41FD5E11" w14:textId="0E984180" w:rsidR="00406938" w:rsidRPr="004E2B72" w:rsidRDefault="00406938" w:rsidP="00073E78">
            <w:pPr>
              <w:spacing w:after="0"/>
              <w:jc w:val="both"/>
              <w:rPr>
                <w:rFonts w:cs="Arial"/>
                <w:b w:val="0"/>
                <w:bCs w:val="0"/>
              </w:rPr>
            </w:pPr>
            <w:r w:rsidRPr="004E2B72">
              <w:rPr>
                <w:rFonts w:cs="Arial"/>
              </w:rPr>
              <w:t xml:space="preserve">X. </w:t>
            </w:r>
            <w:r w:rsidR="00CB3204" w:rsidRPr="004E2B72">
              <w:rPr>
                <w:rFonts w:cs="Arial"/>
              </w:rPr>
              <w:t xml:space="preserve">Poplatky za řešení jako služba </w:t>
            </w:r>
            <w:r w:rsidRPr="004E2B72">
              <w:rPr>
                <w:rFonts w:cs="Arial"/>
              </w:rPr>
              <w:t xml:space="preserve">(pouze </w:t>
            </w:r>
            <w:r w:rsidR="00CB3204" w:rsidRPr="004E2B72">
              <w:rPr>
                <w:rFonts w:cs="Arial"/>
              </w:rPr>
              <w:t>Cloud</w:t>
            </w:r>
            <w:r w:rsidRPr="004E2B72">
              <w:rPr>
                <w:rFonts w:cs="Arial"/>
              </w:rPr>
              <w:t>)</w:t>
            </w:r>
          </w:p>
        </w:tc>
        <w:tc>
          <w:tcPr>
            <w:tcW w:w="1418" w:type="dxa"/>
            <w:gridSpan w:val="2"/>
            <w:tcBorders>
              <w:bottom w:val="single" w:sz="4" w:space="0" w:color="auto"/>
            </w:tcBorders>
            <w:shd w:val="clear" w:color="auto" w:fill="00B050"/>
          </w:tcPr>
          <w:p w14:paraId="300E8FD6"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6B1FF2" w:rsidRPr="004E2B72" w14:paraId="6B1521C8" w14:textId="77777777" w:rsidTr="006B1FF2">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51A28870" w14:textId="15BC387C" w:rsidR="006B1FF2" w:rsidRPr="004E2B72" w:rsidRDefault="006B1FF2" w:rsidP="00073E78">
            <w:pPr>
              <w:spacing w:after="0"/>
              <w:jc w:val="both"/>
              <w:rPr>
                <w:rFonts w:cs="Arial"/>
                <w:b w:val="0"/>
              </w:rPr>
            </w:pPr>
            <w:r w:rsidRPr="004E2B72">
              <w:rPr>
                <w:rFonts w:cs="Arial"/>
              </w:rPr>
              <w:t>Z. Ostatní, k fázi životního cyklu nepřiřaditelné náklady (pokud mají na volbu varianty vliv)</w:t>
            </w:r>
            <w:r w:rsidRPr="004E2B72">
              <w:rPr>
                <w:rStyle w:val="Znakapoznpodarou"/>
                <w:rFonts w:cs="Arial"/>
              </w:rPr>
              <w:footnoteReference w:id="26"/>
            </w:r>
          </w:p>
        </w:tc>
        <w:tc>
          <w:tcPr>
            <w:tcW w:w="709" w:type="dxa"/>
            <w:tcBorders>
              <w:bottom w:val="single" w:sz="4" w:space="0" w:color="auto"/>
              <w:tl2br w:val="nil"/>
            </w:tcBorders>
            <w:shd w:val="clear" w:color="auto" w:fill="00B050"/>
          </w:tcPr>
          <w:p w14:paraId="43EA5AE9" w14:textId="77777777" w:rsidR="006B1FF2" w:rsidRPr="004E2B72" w:rsidRDefault="006B1FF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709" w:type="dxa"/>
            <w:tcBorders>
              <w:bottom w:val="single" w:sz="4" w:space="0" w:color="auto"/>
              <w:tl2br w:val="nil"/>
            </w:tcBorders>
            <w:shd w:val="clear" w:color="auto" w:fill="C00000"/>
          </w:tcPr>
          <w:p w14:paraId="63591204" w14:textId="225F7A7A" w:rsidR="006B1FF2" w:rsidRPr="004E2B72" w:rsidRDefault="006B1FF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406938" w:rsidRPr="004E2B72" w14:paraId="627938AE" w14:textId="77777777" w:rsidTr="00880E65">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24BDD8F0" w14:textId="77777777" w:rsidR="00406938" w:rsidRPr="004E2B72" w:rsidRDefault="00406938" w:rsidP="00073E78">
            <w:pPr>
              <w:spacing w:after="0"/>
              <w:jc w:val="both"/>
              <w:rPr>
                <w:rFonts w:cs="Arial"/>
              </w:rPr>
            </w:pPr>
            <w:r w:rsidRPr="004E2B72">
              <w:rPr>
                <w:rFonts w:cs="Arial"/>
              </w:rPr>
              <w:t>Celkové TCO projektu (5let)</w:t>
            </w:r>
          </w:p>
        </w:tc>
        <w:tc>
          <w:tcPr>
            <w:tcW w:w="1418" w:type="dxa"/>
            <w:gridSpan w:val="2"/>
            <w:tcBorders>
              <w:top w:val="single" w:sz="4" w:space="0" w:color="auto"/>
            </w:tcBorders>
          </w:tcPr>
          <w:p w14:paraId="22383C97" w14:textId="77777777" w:rsidR="00406938" w:rsidRPr="004E2B72" w:rsidRDefault="0040693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r>
    </w:tbl>
    <w:p w14:paraId="249A78FD" w14:textId="77777777" w:rsidR="00613CCF" w:rsidRPr="004E2B72" w:rsidRDefault="00613CCF" w:rsidP="00073E78">
      <w:pPr>
        <w:tabs>
          <w:tab w:val="clear" w:pos="284"/>
          <w:tab w:val="clear" w:pos="567"/>
          <w:tab w:val="clear" w:pos="851"/>
          <w:tab w:val="clear" w:pos="1134"/>
          <w:tab w:val="clear" w:pos="1418"/>
          <w:tab w:val="clear" w:pos="9072"/>
        </w:tabs>
        <w:spacing w:after="0"/>
        <w:jc w:val="both"/>
        <w:rPr>
          <w:rFonts w:cs="Arial"/>
          <w:szCs w:val="22"/>
        </w:rPr>
      </w:pPr>
    </w:p>
    <w:p w14:paraId="0D2F74D0" w14:textId="68AE551D" w:rsidR="00406938" w:rsidRPr="004E2B72" w:rsidRDefault="00613CCF" w:rsidP="00073E78">
      <w:pPr>
        <w:tabs>
          <w:tab w:val="clear" w:pos="284"/>
          <w:tab w:val="clear" w:pos="567"/>
          <w:tab w:val="clear" w:pos="851"/>
          <w:tab w:val="clear" w:pos="1134"/>
          <w:tab w:val="clear" w:pos="1418"/>
          <w:tab w:val="clear" w:pos="9072"/>
        </w:tabs>
        <w:spacing w:after="0"/>
        <w:jc w:val="both"/>
        <w:rPr>
          <w:rFonts w:cs="Arial"/>
          <w:szCs w:val="22"/>
        </w:rPr>
      </w:pPr>
      <w:r w:rsidRPr="004E2B72">
        <w:rPr>
          <w:rFonts w:cs="Arial"/>
          <w:szCs w:val="22"/>
        </w:rPr>
        <w:t>Znalost nákladů pro jednotlivé kategorie a nákladové komponenty může být výhodou při hledání kompromisní a nákladově optimální varianty řešení, vzniklé kombinací prvků řešení původních variant – využití nákladově silný stránek každé z nich.</w:t>
      </w:r>
    </w:p>
    <w:p w14:paraId="51A7B10C" w14:textId="7A7A1D96" w:rsidR="001F7B0C" w:rsidRPr="004E2B72" w:rsidRDefault="001F7B0C" w:rsidP="000A2282">
      <w:pPr>
        <w:pStyle w:val="Nadpis3"/>
        <w:jc w:val="both"/>
        <w:rPr>
          <w:rFonts w:cs="Arial"/>
        </w:rPr>
      </w:pPr>
      <w:bookmarkStart w:id="29" w:name="_Toc120784678"/>
      <w:r w:rsidRPr="004E2B72">
        <w:rPr>
          <w:rFonts w:cs="Arial"/>
        </w:rPr>
        <w:t xml:space="preserve">Porovnání variant </w:t>
      </w:r>
      <w:r w:rsidR="00D1035E">
        <w:rPr>
          <w:rFonts w:cs="Arial"/>
        </w:rPr>
        <w:t xml:space="preserve">možných </w:t>
      </w:r>
      <w:r w:rsidRPr="004E2B72">
        <w:rPr>
          <w:rFonts w:cs="Arial"/>
        </w:rPr>
        <w:t>řešení při zvažování eGovernment Cloudu</w:t>
      </w:r>
      <w:bookmarkEnd w:id="29"/>
    </w:p>
    <w:p w14:paraId="2976A6A6" w14:textId="77777777" w:rsidR="00631010" w:rsidRPr="00C80226" w:rsidRDefault="001F7B0C" w:rsidP="00C80226">
      <w:pPr>
        <w:jc w:val="both"/>
      </w:pPr>
      <w:r w:rsidRPr="00C80226">
        <w:t>Tento z</w:t>
      </w:r>
      <w:r w:rsidR="00FA7CE8" w:rsidRPr="00C80226">
        <w:t xml:space="preserve">působ užití ukazatele TCO ISVS pro rozhodování o variantách řešení z pohledu jeho umístění do Cloudu a čerpání jako služby je svými podstatnými vlastnostmi totožný, jako jakékoli jiné rozhodování o </w:t>
      </w:r>
      <w:r w:rsidR="00631010" w:rsidRPr="00C80226">
        <w:t>jakýchkoli jiných variantách řešení.</w:t>
      </w:r>
    </w:p>
    <w:p w14:paraId="2758C4E2" w14:textId="525D527B" w:rsidR="00FA7CE8" w:rsidRPr="00C80226" w:rsidRDefault="00631010" w:rsidP="00C80226">
      <w:pPr>
        <w:jc w:val="both"/>
      </w:pPr>
      <w:r w:rsidRPr="00C80226">
        <w:t xml:space="preserve">V tomto případě </w:t>
      </w:r>
      <w:r w:rsidR="00FA7CE8" w:rsidRPr="00C80226">
        <w:t xml:space="preserve">je </w:t>
      </w:r>
      <w:r w:rsidRPr="00C80226">
        <w:t xml:space="preserve">ale postup zjišťování odpovídajících nákladů </w:t>
      </w:r>
      <w:r w:rsidR="00FA7CE8" w:rsidRPr="00C80226">
        <w:t>podrobně specifikován v samostatné metodice</w:t>
      </w:r>
      <w:r w:rsidRPr="00C80226">
        <w:t xml:space="preserve">, která je současně uživatelskou příručkou tabulkových nástrojů, které jsou pro tento způsob užití TCO ISVS vypracovány a dány k dispozici, viz jejich popis v kapitole </w:t>
      </w:r>
      <w:r w:rsidRPr="00C80226">
        <w:fldChar w:fldCharType="begin"/>
      </w:r>
      <w:r w:rsidRPr="00C80226">
        <w:instrText xml:space="preserve"> REF _Ref116381451 \r \h  \* MERGEFORMAT </w:instrText>
      </w:r>
      <w:r w:rsidRPr="00C80226">
        <w:fldChar w:fldCharType="separate"/>
      </w:r>
      <w:r w:rsidRPr="00C80226">
        <w:t>5.2</w:t>
      </w:r>
      <w:r w:rsidRPr="00C80226">
        <w:fldChar w:fldCharType="end"/>
      </w:r>
      <w:r w:rsidRPr="00C80226">
        <w:t xml:space="preserve"> - </w:t>
      </w:r>
      <w:r w:rsidRPr="00C80226">
        <w:fldChar w:fldCharType="begin"/>
      </w:r>
      <w:r w:rsidRPr="00C80226">
        <w:instrText xml:space="preserve"> REF _Ref116381451 \h  \* MERGEFORMAT </w:instrText>
      </w:r>
      <w:r w:rsidRPr="00C80226">
        <w:fldChar w:fldCharType="separate"/>
      </w:r>
      <w:r w:rsidRPr="00C80226">
        <w:t>Příloha 2: Samostatné tabulkové kalkulátory TCO ISVS</w:t>
      </w:r>
      <w:r w:rsidRPr="00C80226">
        <w:fldChar w:fldCharType="end"/>
      </w:r>
      <w:r w:rsidRPr="00C80226">
        <w:t>.</w:t>
      </w:r>
    </w:p>
    <w:p w14:paraId="3725C9D2" w14:textId="2DC43844" w:rsidR="00631010" w:rsidRPr="004E2B72" w:rsidRDefault="00631010" w:rsidP="000A2282">
      <w:pPr>
        <w:pStyle w:val="Nadpis3"/>
        <w:jc w:val="both"/>
        <w:rPr>
          <w:rFonts w:cs="Arial"/>
          <w:szCs w:val="22"/>
        </w:rPr>
      </w:pPr>
      <w:bookmarkStart w:id="30" w:name="_Toc120784679"/>
      <w:r w:rsidRPr="004E2B72">
        <w:rPr>
          <w:rFonts w:cs="Arial"/>
        </w:rPr>
        <w:t>Porovnání</w:t>
      </w:r>
      <w:r w:rsidRPr="004E2B72">
        <w:rPr>
          <w:rFonts w:cs="Arial"/>
          <w:szCs w:val="22"/>
        </w:rPr>
        <w:t xml:space="preserve"> variant </w:t>
      </w:r>
      <w:r w:rsidR="00D1035E">
        <w:rPr>
          <w:rFonts w:cs="Arial"/>
        </w:rPr>
        <w:t xml:space="preserve">možných </w:t>
      </w:r>
      <w:r w:rsidR="00D1035E" w:rsidRPr="004E2B72">
        <w:rPr>
          <w:rFonts w:cs="Arial"/>
        </w:rPr>
        <w:t xml:space="preserve">řešení </w:t>
      </w:r>
      <w:r w:rsidRPr="004E2B72">
        <w:rPr>
          <w:rFonts w:cs="Arial"/>
          <w:szCs w:val="22"/>
        </w:rPr>
        <w:t>při různých bezpečnostních úrovních (BÚ)</w:t>
      </w:r>
      <w:bookmarkEnd w:id="30"/>
    </w:p>
    <w:p w14:paraId="1EC516C1" w14:textId="69577A3B" w:rsidR="00631010" w:rsidRPr="00C80226" w:rsidRDefault="00631010" w:rsidP="00C80226">
      <w:pPr>
        <w:jc w:val="both"/>
      </w:pPr>
      <w:r w:rsidRPr="00C80226">
        <w:t>Také tento způsob užití ukazatele TCO ISVS pro rozhodování o variantách řešení z pohledu jejich rozdílů v dosahovaných bezpečnostních úrovních (BÚ) je svými podstatnými vlastnostmi totožný, jako jakékoli jiné rozhodování o jakýchkoli jiných variantách řešení.</w:t>
      </w:r>
    </w:p>
    <w:p w14:paraId="0A83365D" w14:textId="1998CB94" w:rsidR="00631010" w:rsidRPr="00C80226" w:rsidRDefault="00631010" w:rsidP="00C80226">
      <w:pPr>
        <w:jc w:val="both"/>
      </w:pPr>
      <w:r w:rsidRPr="00C80226">
        <w:t>V tomto případě je ale třeba zdůraznit</w:t>
      </w:r>
      <w:r w:rsidR="000F25FC" w:rsidRPr="00C80226">
        <w:t>, že:</w:t>
      </w:r>
    </w:p>
    <w:p w14:paraId="15C6BE37" w14:textId="43FF897D" w:rsidR="000F25FC" w:rsidRPr="004E2B72" w:rsidRDefault="000F25FC" w:rsidP="00073E78">
      <w:pPr>
        <w:pStyle w:val="Odstavecseseznamem"/>
        <w:numPr>
          <w:ilvl w:val="0"/>
          <w:numId w:val="55"/>
        </w:numPr>
        <w:tabs>
          <w:tab w:val="clear" w:pos="284"/>
          <w:tab w:val="clear" w:pos="567"/>
          <w:tab w:val="clear" w:pos="851"/>
          <w:tab w:val="clear" w:pos="1134"/>
          <w:tab w:val="clear" w:pos="1418"/>
          <w:tab w:val="clear" w:pos="9072"/>
        </w:tabs>
        <w:spacing w:after="0"/>
        <w:jc w:val="both"/>
        <w:rPr>
          <w:rFonts w:cs="Arial"/>
        </w:rPr>
      </w:pPr>
      <w:r w:rsidRPr="004E2B72">
        <w:rPr>
          <w:rFonts w:cs="Arial"/>
        </w:rPr>
        <w:t>nelze pomocí TCO (samotného) porovnávat dvě varianty řešení, mající různé BÚ. Požadované BÚ jsou vlastně různé byznys požadavky a jejich řešení jsou různá</w:t>
      </w:r>
      <w:r w:rsidR="00874AA4">
        <w:rPr>
          <w:rFonts w:cs="Arial"/>
        </w:rPr>
        <w:t>, neporovnatelná</w:t>
      </w:r>
      <w:r w:rsidRPr="004E2B72">
        <w:rPr>
          <w:rFonts w:cs="Arial"/>
        </w:rPr>
        <w:t xml:space="preserve"> řešení. </w:t>
      </w:r>
    </w:p>
    <w:p w14:paraId="063E86AF" w14:textId="6416D596" w:rsidR="000F25FC" w:rsidRDefault="000F25FC" w:rsidP="00073E78">
      <w:pPr>
        <w:pStyle w:val="Odstavecseseznamem"/>
        <w:numPr>
          <w:ilvl w:val="0"/>
          <w:numId w:val="55"/>
        </w:numPr>
        <w:tabs>
          <w:tab w:val="clear" w:pos="284"/>
          <w:tab w:val="clear" w:pos="567"/>
          <w:tab w:val="clear" w:pos="851"/>
          <w:tab w:val="clear" w:pos="1134"/>
          <w:tab w:val="clear" w:pos="1418"/>
          <w:tab w:val="clear" w:pos="9072"/>
        </w:tabs>
        <w:spacing w:after="0"/>
        <w:jc w:val="both"/>
        <w:rPr>
          <w:rFonts w:cs="Arial"/>
        </w:rPr>
      </w:pPr>
      <w:r w:rsidRPr="004E2B72">
        <w:rPr>
          <w:rFonts w:cs="Arial"/>
        </w:rPr>
        <w:t>při posuzování jakýchkoli variant řešení (například i On-Premise versus Cloud) je třeba zajistit, že budou porovnávána řešení se stejnou BÚ.</w:t>
      </w:r>
    </w:p>
    <w:p w14:paraId="5B0CB8B4" w14:textId="214F8180" w:rsidR="00874AA4" w:rsidRPr="004E2B72" w:rsidRDefault="00874AA4" w:rsidP="00073E78">
      <w:pPr>
        <w:pStyle w:val="Odstavecseseznamem"/>
        <w:numPr>
          <w:ilvl w:val="0"/>
          <w:numId w:val="55"/>
        </w:numPr>
        <w:tabs>
          <w:tab w:val="clear" w:pos="284"/>
          <w:tab w:val="clear" w:pos="567"/>
          <w:tab w:val="clear" w:pos="851"/>
          <w:tab w:val="clear" w:pos="1134"/>
          <w:tab w:val="clear" w:pos="1418"/>
          <w:tab w:val="clear" w:pos="9072"/>
        </w:tabs>
        <w:spacing w:after="0"/>
        <w:jc w:val="both"/>
        <w:rPr>
          <w:rFonts w:cs="Arial"/>
        </w:rPr>
      </w:pPr>
      <w:r>
        <w:rPr>
          <w:rFonts w:cs="Arial"/>
        </w:rPr>
        <w:t>pro posuzování variant řešení s různou BÚ nepostačí porovnání nákladů (TCO ISVS), ale je třeba zahrnout do porovnání i přínosy (Business Case, Cost Benefit Analysis).</w:t>
      </w:r>
    </w:p>
    <w:p w14:paraId="00BDDB28" w14:textId="77777777" w:rsidR="00631010" w:rsidRPr="004E2B72" w:rsidRDefault="00631010" w:rsidP="000A2282">
      <w:pPr>
        <w:pStyle w:val="Zkladntext"/>
        <w:jc w:val="both"/>
        <w:rPr>
          <w:rFonts w:cs="Arial"/>
        </w:rPr>
      </w:pPr>
    </w:p>
    <w:p w14:paraId="51EECD48" w14:textId="60DD5F75" w:rsidR="00003318" w:rsidRDefault="00164BE3" w:rsidP="00073E78">
      <w:pPr>
        <w:pStyle w:val="Nadpis2"/>
        <w:jc w:val="both"/>
        <w:rPr>
          <w:rFonts w:cs="Arial"/>
        </w:rPr>
      </w:pPr>
      <w:bookmarkStart w:id="31" w:name="_Ref115780565"/>
      <w:bookmarkStart w:id="32" w:name="_Toc120784680"/>
      <w:r w:rsidRPr="004E2B72">
        <w:rPr>
          <w:rFonts w:cs="Arial"/>
        </w:rPr>
        <w:t xml:space="preserve">Uplatnění </w:t>
      </w:r>
      <w:r w:rsidR="00B012DE" w:rsidRPr="004E2B72">
        <w:rPr>
          <w:rFonts w:cs="Arial"/>
        </w:rPr>
        <w:t xml:space="preserve">ukazatele </w:t>
      </w:r>
      <w:r w:rsidRPr="004E2B72">
        <w:rPr>
          <w:rFonts w:cs="Arial"/>
        </w:rPr>
        <w:t>TCO v</w:t>
      </w:r>
      <w:r w:rsidR="00003318" w:rsidRPr="004E2B72">
        <w:rPr>
          <w:rFonts w:cs="Arial"/>
        </w:rPr>
        <w:t xml:space="preserve"> Žádost</w:t>
      </w:r>
      <w:r w:rsidRPr="004E2B72">
        <w:rPr>
          <w:rFonts w:cs="Arial"/>
        </w:rPr>
        <w:t>i</w:t>
      </w:r>
      <w:r w:rsidR="00003318" w:rsidRPr="004E2B72">
        <w:rPr>
          <w:rFonts w:cs="Arial"/>
        </w:rPr>
        <w:t xml:space="preserve"> o stanovisko OHA</w:t>
      </w:r>
      <w:r w:rsidRPr="004E2B72">
        <w:rPr>
          <w:rFonts w:cs="Arial"/>
        </w:rPr>
        <w:t xml:space="preserve"> k</w:t>
      </w:r>
      <w:r w:rsidR="00467E0F">
        <w:rPr>
          <w:rFonts w:cs="Arial"/>
        </w:rPr>
        <w:t> </w:t>
      </w:r>
      <w:r w:rsidRPr="004E2B72">
        <w:rPr>
          <w:rFonts w:cs="Arial"/>
        </w:rPr>
        <w:t>projektu</w:t>
      </w:r>
      <w:bookmarkEnd w:id="31"/>
      <w:r w:rsidR="00467E0F">
        <w:rPr>
          <w:rFonts w:cs="Arial"/>
        </w:rPr>
        <w:t xml:space="preserve"> či záměru</w:t>
      </w:r>
      <w:bookmarkEnd w:id="32"/>
    </w:p>
    <w:p w14:paraId="337157D1" w14:textId="6C52F0B6" w:rsidR="00467E0F" w:rsidRDefault="00467E0F" w:rsidP="00C80226">
      <w:pPr>
        <w:pStyle w:val="Zkladntext"/>
      </w:pPr>
      <w:r>
        <w:t>OHA se k projektům či záměrům ICT vyjadřuje z 3 hlavních institutů:</w:t>
      </w:r>
    </w:p>
    <w:p w14:paraId="0114AF6E" w14:textId="77777777" w:rsidR="00467E0F" w:rsidRDefault="00467E0F" w:rsidP="00C80226">
      <w:pPr>
        <w:pStyle w:val="Zkladntext"/>
        <w:numPr>
          <w:ilvl w:val="0"/>
          <w:numId w:val="62"/>
        </w:numPr>
      </w:pPr>
      <w:r>
        <w:t>Zákon č. 365/2000 Sb., o informačních systémech veřejné správy</w:t>
      </w:r>
    </w:p>
    <w:p w14:paraId="50F651A2" w14:textId="77777777" w:rsidR="00467E0F" w:rsidRDefault="00467E0F" w:rsidP="00C80226">
      <w:pPr>
        <w:pStyle w:val="Zkladntext"/>
        <w:numPr>
          <w:ilvl w:val="0"/>
          <w:numId w:val="62"/>
        </w:numPr>
      </w:pPr>
      <w:r>
        <w:t xml:space="preserve">Usnesení vlády č. 86 </w:t>
      </w:r>
      <w:r w:rsidRPr="00467E0F">
        <w:t>ze dne 27. ledna 2020, ve znění usnesení vlády č. 831 ze dne 5. října 2022</w:t>
      </w:r>
    </w:p>
    <w:p w14:paraId="59225E02" w14:textId="77777777" w:rsidR="00467E0F" w:rsidRDefault="00467E0F" w:rsidP="00C80226">
      <w:pPr>
        <w:pStyle w:val="Zkladntext"/>
        <w:numPr>
          <w:ilvl w:val="0"/>
          <w:numId w:val="62"/>
        </w:numPr>
      </w:pPr>
      <w:r>
        <w:t>Specifické podmínky pro žadatele spolufinancování z evropských strukturální fondů (například Integrovaný regionální operační program)</w:t>
      </w:r>
    </w:p>
    <w:p w14:paraId="49E2F592" w14:textId="52860239" w:rsidR="00467E0F" w:rsidRPr="000A5828" w:rsidRDefault="00467E0F" w:rsidP="00C80226">
      <w:pPr>
        <w:pStyle w:val="Zkladntext"/>
        <w:jc w:val="both"/>
      </w:pPr>
      <w:r>
        <w:t xml:space="preserve">Pro všechny instituty výše platí, že součástí žádosti o stanovisko je popsání ekonomické výhodnosti formou rozpadu externích výdajů projektu či záměru a TCO funkčního celku, který je projektem či záměrem rozvíjen nebo vyvíjen. Jednou výjimkou je předkládání informace podle bodu II/b usnesení vlády č. 86, kdy se předkládají pouze informace o celkových investičních a provozních výdajích. </w:t>
      </w:r>
    </w:p>
    <w:p w14:paraId="3E67C9C2" w14:textId="48123E48" w:rsidR="0080658B" w:rsidRDefault="0080658B" w:rsidP="00073E78">
      <w:pPr>
        <w:pStyle w:val="Zkladntext"/>
        <w:jc w:val="both"/>
        <w:rPr>
          <w:rFonts w:cs="Arial"/>
        </w:rPr>
      </w:pPr>
      <w:r>
        <w:rPr>
          <w:rFonts w:cs="Arial"/>
        </w:rPr>
        <w:t>K r</w:t>
      </w:r>
      <w:r w:rsidRPr="004E2B72">
        <w:rPr>
          <w:rFonts w:cs="Arial"/>
        </w:rPr>
        <w:t>ozsah</w:t>
      </w:r>
      <w:r>
        <w:rPr>
          <w:rFonts w:cs="Arial"/>
        </w:rPr>
        <w:t>u</w:t>
      </w:r>
      <w:r w:rsidRPr="004E2B72">
        <w:rPr>
          <w:rFonts w:cs="Arial"/>
        </w:rPr>
        <w:t xml:space="preserve"> výdajů resp. nákladů se v rámci Žádosti o stanovisko OHA k projektům</w:t>
      </w:r>
      <w:r>
        <w:rPr>
          <w:rFonts w:cs="Arial"/>
        </w:rPr>
        <w:t xml:space="preserve"> či záměrům</w:t>
      </w:r>
      <w:r w:rsidRPr="004E2B72">
        <w:rPr>
          <w:rFonts w:cs="Arial"/>
        </w:rPr>
        <w:t xml:space="preserve"> p</w:t>
      </w:r>
      <w:r>
        <w:rPr>
          <w:rFonts w:cs="Arial"/>
        </w:rPr>
        <w:t>řihlíží</w:t>
      </w:r>
      <w:r w:rsidRPr="004E2B72">
        <w:rPr>
          <w:rFonts w:cs="Arial"/>
        </w:rPr>
        <w:t xml:space="preserve"> </w:t>
      </w:r>
      <w:r>
        <w:rPr>
          <w:rFonts w:cs="Arial"/>
        </w:rPr>
        <w:t>ze dvou úhlů pohledu.</w:t>
      </w:r>
      <w:r w:rsidRPr="004E2B72">
        <w:rPr>
          <w:rFonts w:cs="Arial"/>
        </w:rPr>
        <w:t xml:space="preserve"> Jsou to</w:t>
      </w:r>
      <w:r>
        <w:rPr>
          <w:rFonts w:cs="Arial"/>
        </w:rPr>
        <w:t>:</w:t>
      </w:r>
    </w:p>
    <w:p w14:paraId="4B8A7D87" w14:textId="26B0581C" w:rsidR="0080658B" w:rsidRDefault="0080658B" w:rsidP="00C80226">
      <w:pPr>
        <w:pStyle w:val="Zkladntext"/>
        <w:numPr>
          <w:ilvl w:val="0"/>
          <w:numId w:val="63"/>
        </w:numPr>
        <w:jc w:val="both"/>
        <w:rPr>
          <w:rFonts w:cs="Arial"/>
        </w:rPr>
      </w:pPr>
      <w:r w:rsidRPr="00C80226">
        <w:rPr>
          <w:rFonts w:cs="Arial"/>
          <w:b/>
        </w:rPr>
        <w:t>Ekonomické parametry projektu</w:t>
      </w:r>
      <w:r>
        <w:rPr>
          <w:rFonts w:cs="Arial"/>
        </w:rPr>
        <w:t xml:space="preserve">. </w:t>
      </w:r>
      <w:r w:rsidRPr="0080658B">
        <w:rPr>
          <w:rFonts w:cs="Arial"/>
        </w:rPr>
        <w:t>Hrubý odhad hodnoty záměru nákupu služeb či investic a provozních či rozvojových výdajů (externích výdajů), souvisejících s</w:t>
      </w:r>
      <w:r>
        <w:rPr>
          <w:rFonts w:cs="Arial"/>
        </w:rPr>
        <w:t> projektem či záměrem. Jde tedy o hodnoty, které jsou pro projekt plánovány a známy. Více viz kapitola 3.3.1</w:t>
      </w:r>
    </w:p>
    <w:p w14:paraId="4D2E077F" w14:textId="53BDC067" w:rsidR="0080658B" w:rsidRPr="00C80226" w:rsidRDefault="0080658B" w:rsidP="00C80226">
      <w:pPr>
        <w:pStyle w:val="Odstavecseseznamem"/>
        <w:numPr>
          <w:ilvl w:val="0"/>
          <w:numId w:val="63"/>
        </w:numPr>
        <w:rPr>
          <w:rFonts w:cs="Arial"/>
          <w:b/>
        </w:rPr>
      </w:pPr>
      <w:r w:rsidRPr="00C80226">
        <w:rPr>
          <w:rFonts w:cs="Arial"/>
          <w:b/>
        </w:rPr>
        <w:t>Celkové náklady vlastnictví (TCO) funkčního celku</w:t>
      </w:r>
      <w:r>
        <w:rPr>
          <w:rFonts w:cs="Arial"/>
          <w:b/>
        </w:rPr>
        <w:t xml:space="preserve">. </w:t>
      </w:r>
      <w:r>
        <w:rPr>
          <w:rFonts w:cs="Arial"/>
        </w:rPr>
        <w:t>Ekonomická náročnost funkčního celku, který je projektem či záměrem měněn či vyvíjen. Jedná se o skutečné TCO, tedy jaké jsou celkové náklady vlastnictví a to minimálně s úrovní detailu zpět 5 let, až do realizace projektu či záměru. Více viz kapitola 3.3.2</w:t>
      </w:r>
    </w:p>
    <w:p w14:paraId="04F61CB9" w14:textId="18692F63" w:rsidR="0080658B" w:rsidRPr="000A5828" w:rsidRDefault="0080658B" w:rsidP="00C80226">
      <w:pPr>
        <w:pStyle w:val="Zkladntext"/>
        <w:numPr>
          <w:ilvl w:val="0"/>
          <w:numId w:val="63"/>
        </w:numPr>
        <w:tabs>
          <w:tab w:val="clear" w:pos="284"/>
          <w:tab w:val="clear" w:pos="567"/>
          <w:tab w:val="left" w:pos="709"/>
        </w:tabs>
        <w:jc w:val="both"/>
        <w:rPr>
          <w:rFonts w:cs="Arial"/>
        </w:rPr>
      </w:pPr>
      <w:r>
        <w:rPr>
          <w:rFonts w:cs="Arial"/>
          <w:b/>
          <w:bCs/>
        </w:rPr>
        <w:t xml:space="preserve">Odůvodnění výběru zvolené varianty na základě ekonomické </w:t>
      </w:r>
      <w:r w:rsidRPr="00A26EC8">
        <w:rPr>
          <w:rFonts w:cs="Arial"/>
          <w:b/>
          <w:bCs/>
        </w:rPr>
        <w:t>výhodnosti</w:t>
      </w:r>
      <w:r>
        <w:rPr>
          <w:rFonts w:cs="Arial"/>
        </w:rPr>
        <w:t xml:space="preserve"> možných alternativ řešení uspokojení potřeb, včetně ověření (zdůvodnění), zda již nastal čas na změnu. Více viz kapitola 3.3.3</w:t>
      </w:r>
    </w:p>
    <w:p w14:paraId="7BACC7BF" w14:textId="77777777" w:rsidR="0080658B" w:rsidRDefault="0080658B" w:rsidP="00073E78">
      <w:pPr>
        <w:pStyle w:val="Zkladntext"/>
        <w:jc w:val="both"/>
        <w:rPr>
          <w:rFonts w:cs="Arial"/>
        </w:rPr>
      </w:pPr>
    </w:p>
    <w:p w14:paraId="6750E422" w14:textId="4DAA7732" w:rsidR="00B12C0E" w:rsidRPr="004E2B72" w:rsidRDefault="00B12C0E" w:rsidP="00073E78">
      <w:pPr>
        <w:pStyle w:val="Zkladntext"/>
        <w:jc w:val="both"/>
        <w:rPr>
          <w:rFonts w:cs="Arial"/>
        </w:rPr>
      </w:pPr>
      <w:r w:rsidRPr="004E2B72">
        <w:rPr>
          <w:rFonts w:cs="Arial"/>
        </w:rPr>
        <w:t xml:space="preserve">Pro odhad plánovaných výdajů a/nebo nákladů projektu, se </w:t>
      </w:r>
      <w:r w:rsidRPr="004E2B72">
        <w:rPr>
          <w:rFonts w:cs="Arial"/>
          <w:b/>
        </w:rPr>
        <w:t>v rámci záměrného zjednodušení metodiky výpočtu TCO</w:t>
      </w:r>
      <w:r w:rsidRPr="004E2B72">
        <w:rPr>
          <w:rFonts w:cs="Arial"/>
        </w:rPr>
        <w:t xml:space="preserve"> pro ICT VS ČR použijí jenom ty nákladové položky z plánu nákladových kategorií </w:t>
      </w:r>
      <w:r w:rsidR="00CE504E" w:rsidRPr="004E2B72">
        <w:rPr>
          <w:rFonts w:cs="Arial"/>
        </w:rPr>
        <w:t xml:space="preserve">účelového </w:t>
      </w:r>
      <w:r w:rsidRPr="004E2B72">
        <w:rPr>
          <w:rFonts w:cs="Arial"/>
        </w:rPr>
        <w:t xml:space="preserve">TCO modelu (viz níže), které nejsou označeny červeně, tj. A, B, C, D, E, F, G, a případně X pro </w:t>
      </w:r>
      <w:r w:rsidR="000D2C91" w:rsidRPr="004E2B72">
        <w:rPr>
          <w:rFonts w:cs="Arial"/>
        </w:rPr>
        <w:t>Cloud</w:t>
      </w:r>
      <w:r w:rsidRPr="004E2B72">
        <w:rPr>
          <w:rFonts w:cs="Arial"/>
        </w:rPr>
        <w:t xml:space="preserve">, jež odpovídají </w:t>
      </w:r>
      <w:r w:rsidRPr="004E2B72">
        <w:rPr>
          <w:rFonts w:cs="Arial"/>
          <w:b/>
        </w:rPr>
        <w:t>plánovaným přímým výdajům a nákladům</w:t>
      </w:r>
      <w:r w:rsidRPr="004E2B72">
        <w:rPr>
          <w:rFonts w:cs="Arial"/>
        </w:rPr>
        <w:t xml:space="preserve"> na projekt.</w:t>
      </w:r>
    </w:p>
    <w:p w14:paraId="221F889E" w14:textId="7AA6ACEA" w:rsidR="005237C6" w:rsidRPr="004E2B72" w:rsidRDefault="005237C6" w:rsidP="00073E78">
      <w:pPr>
        <w:pStyle w:val="Zkladntext"/>
        <w:jc w:val="both"/>
        <w:rPr>
          <w:rFonts w:cs="Arial"/>
        </w:rPr>
      </w:pPr>
      <w:r w:rsidRPr="004E2B72">
        <w:rPr>
          <w:rFonts w:cs="Arial"/>
        </w:rPr>
        <w:t xml:space="preserve">Pro zjednodušení vyplnění Formuláře žádosti jsou v odhadu a plánu </w:t>
      </w:r>
      <w:r w:rsidRPr="004E2B72">
        <w:rPr>
          <w:rFonts w:cs="Arial"/>
          <w:b/>
        </w:rPr>
        <w:t>kategorie H a Z</w:t>
      </w:r>
      <w:r w:rsidRPr="004E2B72">
        <w:rPr>
          <w:rFonts w:cs="Arial"/>
        </w:rPr>
        <w:t xml:space="preserve"> označeny červeně jako </w:t>
      </w:r>
      <w:r w:rsidRPr="004E2B72">
        <w:rPr>
          <w:rFonts w:cs="Arial"/>
          <w:b/>
        </w:rPr>
        <w:t>nepovinné</w:t>
      </w:r>
      <w:r w:rsidRPr="004E2B72">
        <w:rPr>
          <w:rFonts w:cs="Arial"/>
        </w:rPr>
        <w:t xml:space="preserve">, stejně tak </w:t>
      </w:r>
      <w:r w:rsidRPr="004E2B72">
        <w:rPr>
          <w:rFonts w:cs="Arial"/>
          <w:b/>
        </w:rPr>
        <w:t>kategorie I</w:t>
      </w:r>
      <w:r w:rsidRPr="004E2B72">
        <w:rPr>
          <w:rFonts w:cs="Arial"/>
        </w:rPr>
        <w:t xml:space="preserve">, v případě nového řešení, protože ukončení života řešení spadá s velkou pravděpodobností za horizont 5 let. Z dílčích nákladových/výdajových komponent </w:t>
      </w:r>
      <w:r w:rsidRPr="004E2B72">
        <w:rPr>
          <w:rFonts w:cs="Arial"/>
          <w:b/>
        </w:rPr>
        <w:t>je nepovinná také komponenta C3</w:t>
      </w:r>
      <w:r w:rsidRPr="004E2B72">
        <w:rPr>
          <w:rFonts w:cs="Arial"/>
        </w:rPr>
        <w:t xml:space="preserve"> – Řízení organizačních změn, spojených s řešením (OCM), neboť se ve většině úřadů pravděpodobně dosud aktivně neprovádí a její náklady budou obtížně </w:t>
      </w:r>
      <w:r w:rsidR="00880E65" w:rsidRPr="004E2B72">
        <w:rPr>
          <w:rFonts w:cs="Arial"/>
        </w:rPr>
        <w:t>zjistitelné a přiřaditelné</w:t>
      </w:r>
      <w:r w:rsidRPr="004E2B72">
        <w:rPr>
          <w:rFonts w:cs="Arial"/>
        </w:rPr>
        <w:t xml:space="preserve">. </w:t>
      </w:r>
    </w:p>
    <w:p w14:paraId="4DA90E70" w14:textId="7B4EC873" w:rsidR="00B12C0E" w:rsidRPr="004E2B72" w:rsidRDefault="00B12C0E" w:rsidP="00073E78">
      <w:pPr>
        <w:pStyle w:val="Zkladntext"/>
        <w:jc w:val="both"/>
        <w:rPr>
          <w:rFonts w:cs="Arial"/>
        </w:rPr>
      </w:pPr>
      <w:r w:rsidRPr="004E2B72">
        <w:rPr>
          <w:rFonts w:cs="Arial"/>
        </w:rPr>
        <w:t xml:space="preserve">Do plánu externích přímých výdajů je </w:t>
      </w:r>
      <w:r w:rsidRPr="004E2B72">
        <w:rPr>
          <w:rFonts w:cs="Arial"/>
          <w:b/>
        </w:rPr>
        <w:t xml:space="preserve">nutno započítat i výdaje za dodavatelem původního řešení při přípravě migrace </w:t>
      </w:r>
      <w:r w:rsidRPr="004E2B72">
        <w:rPr>
          <w:rFonts w:cs="Arial"/>
        </w:rPr>
        <w:t>a ukončení jeho provozu nebo archivaci – viz nákladová komponenta C8 – Pořízení/Migrace dat</w:t>
      </w:r>
      <w:r w:rsidR="000D2C91" w:rsidRPr="004E2B72">
        <w:rPr>
          <w:rFonts w:cs="Arial"/>
        </w:rPr>
        <w:t xml:space="preserve"> a adekvátní výdaje z kategorie I - Útlum, konzervace a ukončení řešení</w:t>
      </w:r>
      <w:r w:rsidRPr="004E2B72">
        <w:rPr>
          <w:rFonts w:cs="Arial"/>
        </w:rPr>
        <w:t xml:space="preserve">. Obdobně </w:t>
      </w:r>
      <w:r w:rsidR="000D2C91" w:rsidRPr="004E2B72">
        <w:rPr>
          <w:rFonts w:cs="Arial"/>
        </w:rPr>
        <w:t>se uplatní</w:t>
      </w:r>
      <w:r w:rsidRPr="004E2B72">
        <w:rPr>
          <w:rFonts w:cs="Arial"/>
        </w:rPr>
        <w:t xml:space="preserve"> i interní náklady na totéž v odhadu celkové ekonomické náročnosti. </w:t>
      </w:r>
      <w:r w:rsidR="00EB6830" w:rsidRPr="004E2B72">
        <w:rPr>
          <w:rFonts w:cs="Arial"/>
        </w:rPr>
        <w:t>Protože se jedná o náklady z jiného obchodního případu</w:t>
      </w:r>
      <w:r w:rsidR="000A2282">
        <w:rPr>
          <w:rFonts w:cs="Arial"/>
        </w:rPr>
        <w:t>,</w:t>
      </w:r>
      <w:r w:rsidR="00EB6830" w:rsidRPr="004E2B72">
        <w:rPr>
          <w:rFonts w:cs="Arial"/>
        </w:rPr>
        <w:t xml:space="preserve"> je kategorie jakožto upozornění na tuto zvláštnost označena žlutě.</w:t>
      </w:r>
    </w:p>
    <w:tbl>
      <w:tblPr>
        <w:tblStyle w:val="Style1"/>
        <w:tblW w:w="9611" w:type="dxa"/>
        <w:tblInd w:w="-5" w:type="dxa"/>
        <w:tblLook w:val="04A0" w:firstRow="1" w:lastRow="0" w:firstColumn="1" w:lastColumn="0" w:noHBand="0" w:noVBand="1"/>
      </w:tblPr>
      <w:tblGrid>
        <w:gridCol w:w="8193"/>
        <w:gridCol w:w="1418"/>
      </w:tblGrid>
      <w:tr w:rsidR="00B12C0E" w:rsidRPr="004E2B72" w14:paraId="084A5982" w14:textId="77777777" w:rsidTr="00FE5FB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93" w:type="dxa"/>
          </w:tcPr>
          <w:p w14:paraId="49709F58" w14:textId="77777777" w:rsidR="00B12C0E" w:rsidRPr="004E2B72" w:rsidRDefault="00B12C0E" w:rsidP="00073E78">
            <w:pPr>
              <w:spacing w:after="0"/>
              <w:jc w:val="both"/>
              <w:rPr>
                <w:rFonts w:cs="Arial"/>
              </w:rPr>
            </w:pPr>
            <w:r w:rsidRPr="004E2B72">
              <w:rPr>
                <w:rFonts w:cs="Arial"/>
              </w:rPr>
              <w:t>Souhrnná položka modelu TCO  - nákladová kategorie</w:t>
            </w:r>
          </w:p>
          <w:p w14:paraId="009DBE5A" w14:textId="77777777" w:rsidR="00B12C0E" w:rsidRPr="004E2B72" w:rsidRDefault="00B12C0E" w:rsidP="00073E78">
            <w:pPr>
              <w:spacing w:after="0"/>
              <w:jc w:val="both"/>
              <w:rPr>
                <w:rFonts w:cs="Arial"/>
              </w:rPr>
            </w:pPr>
            <w:r w:rsidRPr="004E2B72">
              <w:rPr>
                <w:rFonts w:cs="Arial"/>
              </w:rPr>
              <w:t>(5 let)</w:t>
            </w:r>
          </w:p>
        </w:tc>
        <w:tc>
          <w:tcPr>
            <w:tcW w:w="1418" w:type="dxa"/>
          </w:tcPr>
          <w:p w14:paraId="3E9C2BD5" w14:textId="77777777" w:rsidR="00B12C0E" w:rsidRPr="004E2B72" w:rsidRDefault="00B12C0E" w:rsidP="00073E78">
            <w:pPr>
              <w:spacing w:after="0"/>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cs="Arial"/>
              </w:rPr>
              <w:t>Relevance pro šetření</w:t>
            </w:r>
          </w:p>
        </w:tc>
      </w:tr>
      <w:tr w:rsidR="00B12C0E" w:rsidRPr="004E2B72" w14:paraId="68896CF8" w14:textId="77777777" w:rsidTr="00FE5FBA">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275887FA" w14:textId="532DCE5A" w:rsidR="00B12C0E" w:rsidRPr="004E2B72" w:rsidRDefault="00B12C0E" w:rsidP="00073E78">
            <w:pPr>
              <w:spacing w:after="0"/>
              <w:jc w:val="both"/>
              <w:rPr>
                <w:rFonts w:cs="Arial"/>
                <w:b w:val="0"/>
              </w:rPr>
            </w:pPr>
            <w:r w:rsidRPr="004E2B72">
              <w:rPr>
                <w:rFonts w:cs="Arial"/>
              </w:rPr>
              <w:t>A. P</w:t>
            </w:r>
            <w:r w:rsidR="00AA551E" w:rsidRPr="004E2B72">
              <w:rPr>
                <w:rFonts w:cs="Arial"/>
              </w:rPr>
              <w:t>lánování,</w:t>
            </w:r>
            <w:r w:rsidRPr="004E2B72">
              <w:rPr>
                <w:rFonts w:cs="Arial"/>
              </w:rPr>
              <w:t xml:space="preserve"> analýzy, tvorba zadání, výběr řešení a dodavatele – náklady nákupního procesu </w:t>
            </w:r>
          </w:p>
        </w:tc>
        <w:tc>
          <w:tcPr>
            <w:tcW w:w="1418" w:type="dxa"/>
            <w:shd w:val="clear" w:color="auto" w:fill="00B050"/>
          </w:tcPr>
          <w:p w14:paraId="0A653AB2" w14:textId="77777777" w:rsidR="00B12C0E" w:rsidRPr="004E2B72" w:rsidRDefault="00B12C0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B12C0E" w:rsidRPr="004E2B72" w14:paraId="2222F851" w14:textId="77777777" w:rsidTr="00FE5FBA">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7B2649AC" w14:textId="3F824FDD" w:rsidR="00B12C0E" w:rsidRPr="004E2B72" w:rsidRDefault="00B12C0E" w:rsidP="00073E78">
            <w:pPr>
              <w:spacing w:after="0"/>
              <w:jc w:val="both"/>
              <w:rPr>
                <w:rFonts w:cs="Arial"/>
                <w:b w:val="0"/>
              </w:rPr>
            </w:pPr>
            <w:r w:rsidRPr="004E2B72">
              <w:rPr>
                <w:rFonts w:cs="Arial"/>
              </w:rPr>
              <w:t xml:space="preserve">B. Nákup SW a HW pro projekt (ne v případě </w:t>
            </w:r>
            <w:r w:rsidR="00AA551E" w:rsidRPr="004E2B72">
              <w:rPr>
                <w:rFonts w:cs="Arial"/>
              </w:rPr>
              <w:t>Cloud</w:t>
            </w:r>
            <w:r w:rsidRPr="004E2B72">
              <w:rPr>
                <w:rFonts w:cs="Arial"/>
              </w:rPr>
              <w:t>)</w:t>
            </w:r>
          </w:p>
        </w:tc>
        <w:tc>
          <w:tcPr>
            <w:tcW w:w="1418" w:type="dxa"/>
            <w:shd w:val="clear" w:color="auto" w:fill="00B050"/>
          </w:tcPr>
          <w:p w14:paraId="06E534B0" w14:textId="77777777" w:rsidR="00B12C0E" w:rsidRPr="004E2B72" w:rsidRDefault="00B12C0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B12C0E" w:rsidRPr="004E2B72" w14:paraId="5E18A31A" w14:textId="77777777" w:rsidTr="00FE5FBA">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329CEDA1" w14:textId="4558C85F" w:rsidR="00B12C0E" w:rsidRPr="004E2B72" w:rsidRDefault="00B12C0E" w:rsidP="00073E78">
            <w:pPr>
              <w:spacing w:after="0"/>
              <w:jc w:val="both"/>
              <w:rPr>
                <w:rFonts w:cs="Arial"/>
                <w:b w:val="0"/>
                <w:bCs w:val="0"/>
              </w:rPr>
            </w:pPr>
            <w:r w:rsidRPr="004E2B72">
              <w:rPr>
                <w:rFonts w:cs="Arial"/>
              </w:rPr>
              <w:t>C. Analýza, vývoj, implementace</w:t>
            </w:r>
            <w:r w:rsidR="00AA551E" w:rsidRPr="004E2B72">
              <w:rPr>
                <w:rFonts w:cs="Arial"/>
              </w:rPr>
              <w:t>, integrace</w:t>
            </w:r>
            <w:r w:rsidRPr="004E2B72">
              <w:rPr>
                <w:rFonts w:cs="Arial"/>
              </w:rPr>
              <w:t xml:space="preserve"> a zkušební provoz </w:t>
            </w:r>
          </w:p>
        </w:tc>
        <w:tc>
          <w:tcPr>
            <w:tcW w:w="1418" w:type="dxa"/>
            <w:shd w:val="clear" w:color="auto" w:fill="00B050"/>
          </w:tcPr>
          <w:p w14:paraId="495507CA" w14:textId="77777777" w:rsidR="00B12C0E" w:rsidRPr="004E2B72" w:rsidRDefault="00B12C0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B12C0E" w:rsidRPr="004E2B72" w14:paraId="314E539A" w14:textId="77777777" w:rsidTr="00FE5FBA">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72360AA9" w14:textId="1B3C647E" w:rsidR="00B12C0E" w:rsidRPr="004E2B72" w:rsidRDefault="00B12C0E" w:rsidP="00073E78">
            <w:pPr>
              <w:spacing w:after="0"/>
              <w:jc w:val="both"/>
              <w:rPr>
                <w:rFonts w:cs="Arial"/>
                <w:b w:val="0"/>
                <w:bCs w:val="0"/>
              </w:rPr>
            </w:pPr>
            <w:r w:rsidRPr="004E2B72">
              <w:rPr>
                <w:rFonts w:cs="Arial"/>
              </w:rPr>
              <w:t xml:space="preserve">D. Provoz a podpora řešení (ne v případě </w:t>
            </w:r>
            <w:r w:rsidR="00AA551E" w:rsidRPr="004E2B72">
              <w:rPr>
                <w:rFonts w:cs="Arial"/>
              </w:rPr>
              <w:t>Cloud</w:t>
            </w:r>
            <w:r w:rsidRPr="004E2B72">
              <w:rPr>
                <w:rFonts w:cs="Arial"/>
              </w:rPr>
              <w:t>)</w:t>
            </w:r>
          </w:p>
        </w:tc>
        <w:tc>
          <w:tcPr>
            <w:tcW w:w="1418" w:type="dxa"/>
            <w:shd w:val="clear" w:color="auto" w:fill="00B050"/>
          </w:tcPr>
          <w:p w14:paraId="1E43FD04" w14:textId="77777777" w:rsidR="00B12C0E" w:rsidRPr="004E2B72" w:rsidRDefault="00B12C0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B12C0E" w:rsidRPr="004E2B72" w14:paraId="1C0C498C" w14:textId="77777777" w:rsidTr="00FE5FBA">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24EA09EC" w14:textId="2BD7EB6F" w:rsidR="00B12C0E" w:rsidRPr="004E2B72" w:rsidRDefault="00B12C0E" w:rsidP="00073E78">
            <w:pPr>
              <w:spacing w:after="0"/>
              <w:jc w:val="both"/>
              <w:rPr>
                <w:rFonts w:cs="Arial"/>
                <w:b w:val="0"/>
                <w:bCs w:val="0"/>
              </w:rPr>
            </w:pPr>
            <w:r w:rsidRPr="004E2B72">
              <w:rPr>
                <w:rFonts w:cs="Arial"/>
              </w:rPr>
              <w:t xml:space="preserve">E. </w:t>
            </w:r>
            <w:r w:rsidR="00AA551E" w:rsidRPr="004E2B72">
              <w:rPr>
                <w:rFonts w:cs="Arial"/>
              </w:rPr>
              <w:t>Ú</w:t>
            </w:r>
            <w:r w:rsidRPr="004E2B72">
              <w:rPr>
                <w:rFonts w:cs="Arial"/>
              </w:rPr>
              <w:t>držba</w:t>
            </w:r>
            <w:r w:rsidR="00AA551E" w:rsidRPr="004E2B72">
              <w:rPr>
                <w:rFonts w:cs="Arial"/>
              </w:rPr>
              <w:t>, opravy</w:t>
            </w:r>
            <w:r w:rsidRPr="004E2B72">
              <w:rPr>
                <w:rFonts w:cs="Arial"/>
              </w:rPr>
              <w:t xml:space="preserve"> a průběžné úpravy (ne v případě </w:t>
            </w:r>
            <w:r w:rsidR="00AA551E" w:rsidRPr="004E2B72">
              <w:rPr>
                <w:rFonts w:cs="Arial"/>
              </w:rPr>
              <w:t>Cloud</w:t>
            </w:r>
            <w:r w:rsidRPr="004E2B72">
              <w:rPr>
                <w:rFonts w:cs="Arial"/>
              </w:rPr>
              <w:t>)</w:t>
            </w:r>
          </w:p>
        </w:tc>
        <w:tc>
          <w:tcPr>
            <w:tcW w:w="1418" w:type="dxa"/>
            <w:shd w:val="clear" w:color="auto" w:fill="00B050"/>
          </w:tcPr>
          <w:p w14:paraId="418B6772" w14:textId="77777777" w:rsidR="00B12C0E" w:rsidRPr="004E2B72" w:rsidRDefault="00B12C0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B12C0E" w:rsidRPr="004E2B72" w14:paraId="1906E9A8" w14:textId="77777777" w:rsidTr="00FE5FBA">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1E6E3E21" w14:textId="77777777" w:rsidR="00B12C0E" w:rsidRPr="004E2B72" w:rsidRDefault="00B12C0E" w:rsidP="00073E78">
            <w:pPr>
              <w:spacing w:after="0"/>
              <w:jc w:val="both"/>
              <w:rPr>
                <w:rFonts w:cs="Arial"/>
                <w:b w:val="0"/>
                <w:bCs w:val="0"/>
              </w:rPr>
            </w:pPr>
            <w:r w:rsidRPr="004E2B72">
              <w:rPr>
                <w:rFonts w:cs="Arial"/>
              </w:rPr>
              <w:t>F. Projekty postupné inovace a zlepšování (pokud jsou očekávány)</w:t>
            </w:r>
          </w:p>
        </w:tc>
        <w:tc>
          <w:tcPr>
            <w:tcW w:w="1418" w:type="dxa"/>
            <w:shd w:val="clear" w:color="auto" w:fill="00B050"/>
          </w:tcPr>
          <w:p w14:paraId="0652294C" w14:textId="77777777" w:rsidR="00B12C0E" w:rsidRPr="004E2B72" w:rsidRDefault="00B12C0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B12C0E" w:rsidRPr="004E2B72" w14:paraId="6B0E4626" w14:textId="77777777" w:rsidTr="00FE5FBA">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393E897B" w14:textId="77777777" w:rsidR="00B12C0E" w:rsidRPr="004E2B72" w:rsidRDefault="00B12C0E" w:rsidP="00073E78">
            <w:pPr>
              <w:spacing w:after="0"/>
              <w:jc w:val="both"/>
              <w:rPr>
                <w:rFonts w:cs="Arial"/>
                <w:b w:val="0"/>
                <w:bCs w:val="0"/>
              </w:rPr>
            </w:pPr>
            <w:r w:rsidRPr="004E2B72">
              <w:rPr>
                <w:rFonts w:cs="Arial"/>
              </w:rPr>
              <w:t>G. Projekty upgrade (pokud jsou očekávány)</w:t>
            </w:r>
          </w:p>
        </w:tc>
        <w:tc>
          <w:tcPr>
            <w:tcW w:w="1418" w:type="dxa"/>
            <w:shd w:val="clear" w:color="auto" w:fill="00B050"/>
          </w:tcPr>
          <w:p w14:paraId="2F2CF70C" w14:textId="77777777" w:rsidR="00B12C0E" w:rsidRPr="004E2B72" w:rsidRDefault="00B12C0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B12C0E" w:rsidRPr="004E2B72" w14:paraId="03D3C046" w14:textId="77777777" w:rsidTr="00FE5FBA">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1DA601E3" w14:textId="77777777" w:rsidR="00B12C0E" w:rsidRPr="004E2B72" w:rsidRDefault="00B12C0E" w:rsidP="00073E78">
            <w:pPr>
              <w:spacing w:after="0"/>
              <w:jc w:val="both"/>
              <w:rPr>
                <w:rFonts w:cs="Arial"/>
                <w:b w:val="0"/>
                <w:bCs w:val="0"/>
              </w:rPr>
            </w:pPr>
            <w:r w:rsidRPr="004E2B72">
              <w:rPr>
                <w:rFonts w:cs="Arial"/>
              </w:rPr>
              <w:t>H. Zvýšené náklady užívání řešení (pokud se mohou vyskytnout)</w:t>
            </w:r>
          </w:p>
        </w:tc>
        <w:tc>
          <w:tcPr>
            <w:tcW w:w="1418" w:type="dxa"/>
            <w:shd w:val="clear" w:color="auto" w:fill="C00000"/>
          </w:tcPr>
          <w:p w14:paraId="04A33277" w14:textId="77777777" w:rsidR="00B12C0E" w:rsidRPr="004E2B72" w:rsidRDefault="00B12C0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B12C0E" w:rsidRPr="004E2B72" w14:paraId="6910D5FC" w14:textId="77777777" w:rsidTr="000A2282">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6D83E404" w14:textId="6C925321" w:rsidR="00B12C0E" w:rsidRPr="004E2B72" w:rsidRDefault="00B12C0E" w:rsidP="00073E78">
            <w:pPr>
              <w:spacing w:after="0"/>
              <w:jc w:val="both"/>
              <w:rPr>
                <w:rFonts w:cs="Arial"/>
                <w:b w:val="0"/>
              </w:rPr>
            </w:pPr>
            <w:r w:rsidRPr="004E2B72">
              <w:rPr>
                <w:rFonts w:cs="Arial"/>
              </w:rPr>
              <w:t xml:space="preserve">I. </w:t>
            </w:r>
            <w:r w:rsidR="00AA551E" w:rsidRPr="004E2B72">
              <w:rPr>
                <w:rFonts w:cs="Arial"/>
              </w:rPr>
              <w:t>Útlum, k</w:t>
            </w:r>
            <w:r w:rsidRPr="004E2B72">
              <w:rPr>
                <w:rFonts w:cs="Arial"/>
              </w:rPr>
              <w:t xml:space="preserve">onzervace a ukončení řešení (použije </w:t>
            </w:r>
            <w:r w:rsidR="000D2C91" w:rsidRPr="000A2282">
              <w:rPr>
                <w:rFonts w:cs="Arial"/>
              </w:rPr>
              <w:t xml:space="preserve">se </w:t>
            </w:r>
            <w:r w:rsidRPr="004E2B72">
              <w:rPr>
                <w:rFonts w:cs="Arial"/>
              </w:rPr>
              <w:t>na nahrazované řešení)</w:t>
            </w:r>
          </w:p>
        </w:tc>
        <w:tc>
          <w:tcPr>
            <w:tcW w:w="0" w:type="dxa"/>
            <w:shd w:val="clear" w:color="auto" w:fill="FFFF00"/>
          </w:tcPr>
          <w:p w14:paraId="77CF5C32" w14:textId="77777777" w:rsidR="00B12C0E" w:rsidRPr="004E2B72" w:rsidRDefault="00B12C0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B12C0E" w:rsidRPr="004E2B72" w14:paraId="1B46722D" w14:textId="77777777" w:rsidTr="00FE5FBA">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45EE0D12" w14:textId="48E30067" w:rsidR="00B12C0E" w:rsidRPr="004E2B72" w:rsidRDefault="00B12C0E" w:rsidP="00073E78">
            <w:pPr>
              <w:spacing w:after="0"/>
              <w:jc w:val="both"/>
              <w:rPr>
                <w:rFonts w:cs="Arial"/>
                <w:b w:val="0"/>
                <w:bCs w:val="0"/>
              </w:rPr>
            </w:pPr>
            <w:r w:rsidRPr="004E2B72">
              <w:rPr>
                <w:rFonts w:cs="Arial"/>
              </w:rPr>
              <w:t xml:space="preserve">X. </w:t>
            </w:r>
            <w:r w:rsidR="00AA551E" w:rsidRPr="004E2B72">
              <w:rPr>
                <w:rFonts w:cs="Arial"/>
              </w:rPr>
              <w:t>Poplatky za řešení jako služba</w:t>
            </w:r>
            <w:r w:rsidRPr="004E2B72">
              <w:rPr>
                <w:rFonts w:cs="Arial"/>
              </w:rPr>
              <w:t xml:space="preserve"> (pouze </w:t>
            </w:r>
            <w:r w:rsidR="00AA551E" w:rsidRPr="004E2B72">
              <w:rPr>
                <w:rFonts w:cs="Arial"/>
              </w:rPr>
              <w:t>Cloud</w:t>
            </w:r>
            <w:r w:rsidRPr="004E2B72">
              <w:rPr>
                <w:rFonts w:cs="Arial"/>
              </w:rPr>
              <w:t>)</w:t>
            </w:r>
          </w:p>
        </w:tc>
        <w:tc>
          <w:tcPr>
            <w:tcW w:w="1418" w:type="dxa"/>
            <w:shd w:val="clear" w:color="auto" w:fill="00B050"/>
          </w:tcPr>
          <w:p w14:paraId="5878544A" w14:textId="77777777" w:rsidR="00B12C0E" w:rsidRPr="004E2B72" w:rsidRDefault="00B12C0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B12C0E" w:rsidRPr="004E2B72" w14:paraId="5A166465" w14:textId="77777777" w:rsidTr="00FE5FBA">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7896F346" w14:textId="1F5A4E77" w:rsidR="00B12C0E" w:rsidRPr="004E2B72" w:rsidRDefault="00B12C0E" w:rsidP="00073E78">
            <w:pPr>
              <w:spacing w:after="0"/>
              <w:jc w:val="both"/>
              <w:rPr>
                <w:rFonts w:cs="Arial"/>
                <w:b w:val="0"/>
              </w:rPr>
            </w:pPr>
            <w:r w:rsidRPr="004E2B72">
              <w:rPr>
                <w:rFonts w:cs="Arial"/>
              </w:rPr>
              <w:t xml:space="preserve">Z. </w:t>
            </w:r>
            <w:r w:rsidR="00880E65" w:rsidRPr="004E2B72">
              <w:rPr>
                <w:rFonts w:cs="Arial"/>
              </w:rPr>
              <w:t>Ostatní, k fázi životního cyklu nepřiřaditelné</w:t>
            </w:r>
            <w:r w:rsidR="00AA551E" w:rsidRPr="004E2B72">
              <w:rPr>
                <w:rFonts w:cs="Arial"/>
              </w:rPr>
              <w:t xml:space="preserve"> (režijní)</w:t>
            </w:r>
            <w:r w:rsidR="00880E65" w:rsidRPr="004E2B72">
              <w:rPr>
                <w:rFonts w:cs="Arial"/>
              </w:rPr>
              <w:t xml:space="preserve"> náklady</w:t>
            </w:r>
          </w:p>
        </w:tc>
        <w:tc>
          <w:tcPr>
            <w:tcW w:w="1418" w:type="dxa"/>
            <w:shd w:val="clear" w:color="auto" w:fill="C00000"/>
          </w:tcPr>
          <w:p w14:paraId="51FFB6D8" w14:textId="77777777" w:rsidR="00B12C0E" w:rsidRPr="004E2B72" w:rsidRDefault="00B12C0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B12C0E" w:rsidRPr="004E2B72" w14:paraId="4F328943" w14:textId="77777777" w:rsidTr="00FE5FBA">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28164E0F" w14:textId="77777777" w:rsidR="00B12C0E" w:rsidRPr="004E2B72" w:rsidRDefault="00B12C0E" w:rsidP="00073E78">
            <w:pPr>
              <w:spacing w:after="0"/>
              <w:jc w:val="both"/>
              <w:rPr>
                <w:rFonts w:cs="Arial"/>
              </w:rPr>
            </w:pPr>
            <w:r w:rsidRPr="004E2B72">
              <w:rPr>
                <w:rFonts w:cs="Arial"/>
              </w:rPr>
              <w:t>Celkové TCO projektu (5let)</w:t>
            </w:r>
          </w:p>
        </w:tc>
        <w:tc>
          <w:tcPr>
            <w:tcW w:w="1418" w:type="dxa"/>
          </w:tcPr>
          <w:p w14:paraId="7ABD6758" w14:textId="77777777" w:rsidR="00B12C0E" w:rsidRPr="004E2B72" w:rsidRDefault="00B12C0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r>
    </w:tbl>
    <w:p w14:paraId="7F2CFDAE" w14:textId="77777777" w:rsidR="00B12C0E" w:rsidRPr="004E2B72" w:rsidRDefault="00B12C0E" w:rsidP="00073E78">
      <w:pPr>
        <w:pStyle w:val="Zkladntext"/>
        <w:jc w:val="both"/>
        <w:rPr>
          <w:rFonts w:cs="Arial"/>
        </w:rPr>
      </w:pPr>
    </w:p>
    <w:p w14:paraId="6285D2A2" w14:textId="16E77916" w:rsidR="00250EEA" w:rsidRPr="004E2B72" w:rsidRDefault="00CF7E62" w:rsidP="00073E78">
      <w:pPr>
        <w:pStyle w:val="Nadpis3"/>
        <w:jc w:val="both"/>
        <w:rPr>
          <w:rFonts w:cs="Arial"/>
        </w:rPr>
      </w:pPr>
      <w:bookmarkStart w:id="33" w:name="_Ref120708551"/>
      <w:bookmarkStart w:id="34" w:name="_Toc120784682"/>
      <w:r>
        <w:rPr>
          <w:rFonts w:cs="Arial"/>
        </w:rPr>
        <w:t>Ekonomické parametry projektu</w:t>
      </w:r>
      <w:bookmarkEnd w:id="33"/>
      <w:bookmarkEnd w:id="34"/>
    </w:p>
    <w:p w14:paraId="1D329179" w14:textId="786545DD" w:rsidR="00100373" w:rsidRPr="004E2B72" w:rsidRDefault="000D2C91" w:rsidP="00073E78">
      <w:pPr>
        <w:pStyle w:val="Zkladntext"/>
        <w:jc w:val="both"/>
        <w:rPr>
          <w:rFonts w:cs="Arial"/>
          <w:b/>
          <w:bCs/>
        </w:rPr>
      </w:pPr>
      <w:r w:rsidRPr="004E2B72">
        <w:rPr>
          <w:rFonts w:cs="Arial"/>
          <w:bCs/>
        </w:rPr>
        <w:t>Tento odhad slouží k</w:t>
      </w:r>
      <w:r w:rsidR="00CF7E62">
        <w:rPr>
          <w:rFonts w:cs="Arial"/>
          <w:bCs/>
        </w:rPr>
        <w:t> přihlédnutí, zda ekonomické parametry projektu jsou v místě a čase obvyklé, zda žadatel dokáže řádně zdůvodnit jejich výši a má správně nastavená očekávání udržení investice po zamýšlenou dobu udržitelnosti.</w:t>
      </w:r>
      <w:r w:rsidRPr="004E2B72">
        <w:rPr>
          <w:rFonts w:cs="Arial"/>
          <w:bCs/>
        </w:rPr>
        <w:t xml:space="preserve"> </w:t>
      </w:r>
      <w:r w:rsidR="00CF7E62">
        <w:rPr>
          <w:rFonts w:cs="Arial"/>
          <w:bCs/>
        </w:rPr>
        <w:t xml:space="preserve">Od úprav zákona a usnesení vlády č. 86 zmiňovaných výše, již nehraje pro určení způsobilosti k žádosti o stanovisko OHA roli výše výdajů. </w:t>
      </w:r>
    </w:p>
    <w:p w14:paraId="41999519" w14:textId="60362D17" w:rsidR="00A72841" w:rsidRPr="004E2B72" w:rsidRDefault="00A72841" w:rsidP="00073E78">
      <w:pPr>
        <w:jc w:val="both"/>
        <w:rPr>
          <w:rFonts w:cs="Arial"/>
        </w:rPr>
      </w:pPr>
      <w:r w:rsidRPr="004E2B72">
        <w:rPr>
          <w:rFonts w:cs="Arial"/>
          <w:bCs/>
        </w:rPr>
        <w:t>Relevantní pro žádost (ani pro výpočet její hodnoty) tedy nejsou takové budoucí výdaje, které již plynou z dříve uzavřených závazků (smluv) zpracovatele žádosti, například opakovaná platba licence na údržbu</w:t>
      </w:r>
      <w:r w:rsidR="000D2C91" w:rsidRPr="004E2B72">
        <w:rPr>
          <w:rFonts w:cs="Arial"/>
          <w:bCs/>
        </w:rPr>
        <w:t>, uvažují se pouze rozdílové výdaje spojené s / vyvolané změnou.</w:t>
      </w:r>
    </w:p>
    <w:p w14:paraId="73F7E522" w14:textId="33B8E34F" w:rsidR="00B12C0E" w:rsidRPr="004E2B72" w:rsidRDefault="00B12C0E" w:rsidP="00073E78">
      <w:pPr>
        <w:pStyle w:val="Zkladntext"/>
        <w:jc w:val="both"/>
        <w:rPr>
          <w:rFonts w:cs="Arial"/>
          <w:bCs/>
        </w:rPr>
      </w:pPr>
      <w:r w:rsidRPr="004E2B72">
        <w:rPr>
          <w:rFonts w:cs="Arial"/>
          <w:bCs/>
        </w:rPr>
        <w:t>Tento odhad výdajů představuje, zjednodušeně řečeno, očekávaný nárůst (změnu) celkových IT výdajů úřadu „způsobených“ vlastněním/ užíváním předmětného řešení v</w:t>
      </w:r>
      <w:r w:rsidR="00CF7E62">
        <w:rPr>
          <w:rFonts w:cs="Arial"/>
          <w:bCs/>
        </w:rPr>
        <w:t xml:space="preserve"> plánovaném </w:t>
      </w:r>
      <w:r w:rsidR="004E70DD">
        <w:rPr>
          <w:rFonts w:cs="Arial"/>
          <w:bCs/>
        </w:rPr>
        <w:t>vztahu s </w:t>
      </w:r>
      <w:r w:rsidR="00CC41FD">
        <w:rPr>
          <w:rFonts w:cs="Arial"/>
          <w:bCs/>
        </w:rPr>
        <w:t>dodavatelem či</w:t>
      </w:r>
      <w:r w:rsidR="004E70DD">
        <w:rPr>
          <w:rFonts w:cs="Arial"/>
          <w:bCs/>
        </w:rPr>
        <w:t xml:space="preserve"> provozovatelem. Ideální je doba pro </w:t>
      </w:r>
      <w:r w:rsidRPr="004E2B72">
        <w:rPr>
          <w:rFonts w:cs="Arial"/>
          <w:bCs/>
        </w:rPr>
        <w:t xml:space="preserve">následujících </w:t>
      </w:r>
      <w:r w:rsidR="004E70DD">
        <w:rPr>
          <w:rFonts w:cs="Arial"/>
          <w:bCs/>
        </w:rPr>
        <w:t xml:space="preserve">48 měsíců (dle </w:t>
      </w:r>
      <w:r w:rsidR="004E70DD" w:rsidRPr="004E70DD">
        <w:rPr>
          <w:rFonts w:cs="Arial"/>
          <w:bCs/>
        </w:rPr>
        <w:tab/>
        <w:t>§ 20 zákona č. 134/2016 Sb. o zadávání veřejných zakázek</w:t>
      </w:r>
      <w:r w:rsidR="004E70DD">
        <w:rPr>
          <w:rFonts w:cs="Arial"/>
          <w:bCs/>
        </w:rPr>
        <w:t>) nebo 60 měsíců</w:t>
      </w:r>
      <w:r w:rsidRPr="004E2B72">
        <w:rPr>
          <w:rFonts w:cs="Arial"/>
          <w:bCs/>
        </w:rPr>
        <w:t xml:space="preserve"> </w:t>
      </w:r>
      <w:r w:rsidR="004E70DD">
        <w:rPr>
          <w:rFonts w:cs="Arial"/>
          <w:bCs/>
        </w:rPr>
        <w:t>p</w:t>
      </w:r>
      <w:r w:rsidR="00F275C6" w:rsidRPr="004E2B72">
        <w:rPr>
          <w:rFonts w:cs="Arial"/>
          <w:bCs/>
        </w:rPr>
        <w:t>oužívání (a případně vlastnění) ICT služby</w:t>
      </w:r>
      <w:r w:rsidRPr="004E2B72">
        <w:rPr>
          <w:rFonts w:cs="Arial"/>
          <w:bCs/>
        </w:rPr>
        <w:t xml:space="preserve">. </w:t>
      </w:r>
    </w:p>
    <w:p w14:paraId="081E4942" w14:textId="77777777" w:rsidR="00B12C0E" w:rsidRPr="004E2B72" w:rsidRDefault="00B12C0E" w:rsidP="00073E78">
      <w:pPr>
        <w:pStyle w:val="Zkladntext"/>
        <w:jc w:val="both"/>
        <w:rPr>
          <w:rFonts w:cs="Arial"/>
          <w:bCs/>
        </w:rPr>
      </w:pPr>
      <w:r w:rsidRPr="004E2B72">
        <w:rPr>
          <w:rFonts w:cs="Arial"/>
          <w:bCs/>
        </w:rPr>
        <w:t>Zdroje, které projekt a jeho řešení použijí, ale úřad je již má a nemusí za ně tudíž vydávat nové externí výdaje, se do tohoto odhadu nezapočítají, například budova existujícího datového centra, pracovní stanice referentů.</w:t>
      </w:r>
    </w:p>
    <w:p w14:paraId="7896213F" w14:textId="77777777" w:rsidR="000D2C91" w:rsidRPr="004E2B72" w:rsidRDefault="000D2C91" w:rsidP="00073E78">
      <w:pPr>
        <w:jc w:val="both"/>
        <w:rPr>
          <w:rFonts w:cs="Arial"/>
        </w:rPr>
      </w:pPr>
      <w:r w:rsidRPr="004E2B72">
        <w:rPr>
          <w:rFonts w:cs="Arial"/>
        </w:rPr>
        <w:t>Podstatné pro toto použití je, že se jedná o náklady, resp. zde o výdaje, plánované (resp. odhadované) dopředu, takže nehrozí obtíž, že by údaje nebyly dohledatelné v historii účetnictví úřadu.</w:t>
      </w:r>
    </w:p>
    <w:p w14:paraId="6AF0FC11" w14:textId="32E83CCF" w:rsidR="004F61BD" w:rsidRPr="004E2B72" w:rsidRDefault="004F61BD" w:rsidP="00073E78">
      <w:pPr>
        <w:pStyle w:val="Zkladntext"/>
        <w:jc w:val="both"/>
        <w:rPr>
          <w:rFonts w:cs="Arial"/>
          <w:bCs/>
        </w:rPr>
      </w:pPr>
      <w:r w:rsidRPr="004E2B72">
        <w:rPr>
          <w:rFonts w:cs="Arial"/>
          <w:bCs/>
        </w:rPr>
        <w:t>Pro stanovení souhrnu plánovaných výdajů použijte libovolnou účelovou, druhovou (účetní</w:t>
      </w:r>
      <w:r w:rsidR="00A72841" w:rsidRPr="004E2B72">
        <w:rPr>
          <w:rStyle w:val="Znakapoznpodarou"/>
          <w:rFonts w:cs="Arial"/>
          <w:bCs/>
        </w:rPr>
        <w:footnoteReference w:id="27"/>
      </w:r>
      <w:r w:rsidRPr="004E2B72">
        <w:rPr>
          <w:rFonts w:cs="Arial"/>
          <w:bCs/>
        </w:rPr>
        <w:t>) či jinou strukturu výdajů, která Vám pomůže snadno a správně nalézt odhad výdajů, odpovídající plně výše uvedené definic</w:t>
      </w:r>
      <w:r w:rsidR="00505788" w:rsidRPr="004E2B72">
        <w:rPr>
          <w:rFonts w:cs="Arial"/>
          <w:bCs/>
        </w:rPr>
        <w:t>i</w:t>
      </w:r>
      <w:r w:rsidRPr="004E2B72">
        <w:rPr>
          <w:rFonts w:cs="Arial"/>
          <w:bCs/>
        </w:rPr>
        <w:t>.</w:t>
      </w:r>
      <w:r w:rsidR="00505788" w:rsidRPr="004E2B72">
        <w:rPr>
          <w:rFonts w:cs="Arial"/>
          <w:bCs/>
        </w:rPr>
        <w:t xml:space="preserve"> Takto můžete postupovat zejména tehdy, máte-li pocit, že váš záměr hranici relevance pro žádost o stanovisko OHA nepřekročí a vy tedy pravděpodobně nebudete plánovat kompletní TCO v dalších pasážích žádosti.</w:t>
      </w:r>
    </w:p>
    <w:p w14:paraId="170AB9D5" w14:textId="5D887812" w:rsidR="004E70DD" w:rsidRDefault="004F61BD" w:rsidP="00073E78">
      <w:pPr>
        <w:pStyle w:val="Zkladntext"/>
        <w:jc w:val="both"/>
        <w:rPr>
          <w:rFonts w:cs="Arial"/>
          <w:bCs/>
        </w:rPr>
      </w:pPr>
      <w:r w:rsidRPr="004E2B72">
        <w:rPr>
          <w:rFonts w:cs="Arial"/>
          <w:bCs/>
        </w:rPr>
        <w:t>Pokud je z</w:t>
      </w:r>
      <w:r w:rsidR="000D2C91" w:rsidRPr="004E2B72">
        <w:rPr>
          <w:rFonts w:cs="Arial"/>
          <w:bCs/>
        </w:rPr>
        <w:t xml:space="preserve"> odhadu </w:t>
      </w:r>
      <w:r w:rsidRPr="004E2B72">
        <w:rPr>
          <w:rFonts w:cs="Arial"/>
          <w:bCs/>
        </w:rPr>
        <w:t xml:space="preserve">velikosti řešení zjevné, že budete podávat žádost, doporučujeme obrácený postup. Začněte připravovat žádost, její architekturu, její roadmapu a kompletní plán externích </w:t>
      </w:r>
      <w:r w:rsidR="004E70DD">
        <w:rPr>
          <w:rFonts w:cs="Arial"/>
          <w:bCs/>
        </w:rPr>
        <w:t xml:space="preserve">výdajů či </w:t>
      </w:r>
      <w:r w:rsidRPr="004E2B72">
        <w:rPr>
          <w:rFonts w:cs="Arial"/>
          <w:bCs/>
        </w:rPr>
        <w:t>nákladů.</w:t>
      </w:r>
    </w:p>
    <w:p w14:paraId="3FB94E0B" w14:textId="77777777" w:rsidR="004E70DD" w:rsidRDefault="004E70DD" w:rsidP="00073E78">
      <w:pPr>
        <w:pStyle w:val="Zkladntext"/>
        <w:jc w:val="both"/>
        <w:rPr>
          <w:rFonts w:cs="Arial"/>
          <w:bCs/>
        </w:rPr>
      </w:pPr>
    </w:p>
    <w:tbl>
      <w:tblPr>
        <w:tblW w:w="5000" w:type="pct"/>
        <w:tblLook w:val="04A0" w:firstRow="1" w:lastRow="0" w:firstColumn="1" w:lastColumn="0" w:noHBand="0" w:noVBand="1"/>
      </w:tblPr>
      <w:tblGrid>
        <w:gridCol w:w="2570"/>
        <w:gridCol w:w="1899"/>
        <w:gridCol w:w="1899"/>
        <w:gridCol w:w="2703"/>
      </w:tblGrid>
      <w:tr w:rsidR="004E70DD" w:rsidRPr="004E70DD" w14:paraId="31C7733B" w14:textId="77777777" w:rsidTr="00153478">
        <w:trPr>
          <w:tblHeader/>
        </w:trPr>
        <w:tc>
          <w:tcPr>
            <w:tcW w:w="1416" w:type="pct"/>
            <w:tcBorders>
              <w:bottom w:val="single" w:sz="12" w:space="0" w:color="auto"/>
            </w:tcBorders>
          </w:tcPr>
          <w:p w14:paraId="4ABF9282" w14:textId="0C817B13" w:rsidR="004E70DD" w:rsidRPr="004E70DD" w:rsidRDefault="004E70DD">
            <w:pPr>
              <w:tabs>
                <w:tab w:val="clear" w:pos="284"/>
                <w:tab w:val="clear" w:pos="567"/>
                <w:tab w:val="clear" w:pos="851"/>
                <w:tab w:val="clear" w:pos="1134"/>
                <w:tab w:val="clear" w:pos="1418"/>
                <w:tab w:val="clear" w:pos="9072"/>
              </w:tabs>
              <w:spacing w:before="40" w:after="40"/>
              <w:rPr>
                <w:rFonts w:eastAsia="Arial" w:cs="Arial"/>
                <w:szCs w:val="22"/>
                <w:lang w:eastAsia="en-US"/>
              </w:rPr>
            </w:pPr>
            <w:r w:rsidRPr="004E70DD">
              <w:rPr>
                <w:rFonts w:eastAsia="Arial" w:cs="Arial"/>
                <w:szCs w:val="22"/>
                <w:lang w:eastAsia="en-US"/>
              </w:rPr>
              <w:t xml:space="preserve">Souhrnná položka </w:t>
            </w:r>
            <w:r w:rsidR="00CA339D">
              <w:rPr>
                <w:rFonts w:eastAsia="Arial" w:cs="Arial"/>
                <w:szCs w:val="22"/>
                <w:lang w:eastAsia="en-US"/>
              </w:rPr>
              <w:t xml:space="preserve">dle </w:t>
            </w:r>
            <w:r w:rsidRPr="004E70DD">
              <w:rPr>
                <w:rFonts w:eastAsia="Arial" w:cs="Arial"/>
                <w:szCs w:val="22"/>
                <w:lang w:eastAsia="en-US"/>
              </w:rPr>
              <w:t>m</w:t>
            </w:r>
            <w:r w:rsidR="00CA339D">
              <w:rPr>
                <w:rFonts w:eastAsia="Arial" w:cs="Arial"/>
                <w:szCs w:val="22"/>
                <w:lang w:eastAsia="en-US"/>
              </w:rPr>
              <w:t>etodiky</w:t>
            </w:r>
            <w:r w:rsidRPr="004E70DD">
              <w:rPr>
                <w:rFonts w:eastAsia="Arial" w:cs="Arial"/>
                <w:szCs w:val="22"/>
                <w:lang w:eastAsia="en-US"/>
              </w:rPr>
              <w:t xml:space="preserve"> TCO</w:t>
            </w:r>
          </w:p>
        </w:tc>
        <w:tc>
          <w:tcPr>
            <w:tcW w:w="1046" w:type="pct"/>
            <w:tcBorders>
              <w:bottom w:val="single" w:sz="12" w:space="0" w:color="auto"/>
            </w:tcBorders>
          </w:tcPr>
          <w:p w14:paraId="32646C7B"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szCs w:val="22"/>
                <w:lang w:eastAsia="en-US"/>
              </w:rPr>
            </w:pPr>
            <w:r w:rsidRPr="004E70DD">
              <w:rPr>
                <w:rFonts w:ascii="Cambria Math" w:eastAsia="Cambria Math" w:hAnsi="Cambria Math" w:cs="Cambria Math"/>
                <w:szCs w:val="22"/>
                <w:lang w:eastAsia="en-US"/>
              </w:rPr>
              <w:t>①</w:t>
            </w:r>
            <w:r w:rsidRPr="004E70DD">
              <w:rPr>
                <w:rFonts w:eastAsia="Arial" w:cs="Arial"/>
                <w:szCs w:val="22"/>
                <w:lang w:eastAsia="en-US"/>
              </w:rPr>
              <w:t xml:space="preserve"> Výdaje na realizaci (výstavbu) projektu</w:t>
            </w:r>
          </w:p>
        </w:tc>
        <w:tc>
          <w:tcPr>
            <w:tcW w:w="1047" w:type="pct"/>
            <w:tcBorders>
              <w:bottom w:val="single" w:sz="12" w:space="0" w:color="auto"/>
            </w:tcBorders>
          </w:tcPr>
          <w:p w14:paraId="51A269B3"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szCs w:val="22"/>
                <w:lang w:eastAsia="en-US"/>
              </w:rPr>
            </w:pPr>
            <w:r w:rsidRPr="004E70DD">
              <w:rPr>
                <w:rFonts w:ascii="Cambria Math" w:eastAsia="Cambria Math" w:hAnsi="Cambria Math" w:cs="Cambria Math"/>
                <w:szCs w:val="22"/>
                <w:lang w:eastAsia="en-US"/>
              </w:rPr>
              <w:t>②</w:t>
            </w:r>
            <w:r w:rsidRPr="004E70DD">
              <w:rPr>
                <w:rFonts w:eastAsia="Arial" w:cs="Arial"/>
                <w:szCs w:val="22"/>
                <w:lang w:eastAsia="en-US"/>
              </w:rPr>
              <w:t xml:space="preserve"> Výdaje na provoz a rozvoj (do konce aktuální smlouvy)</w:t>
            </w:r>
          </w:p>
        </w:tc>
        <w:tc>
          <w:tcPr>
            <w:tcW w:w="1490" w:type="pct"/>
            <w:tcBorders>
              <w:bottom w:val="single" w:sz="12" w:space="0" w:color="auto"/>
            </w:tcBorders>
          </w:tcPr>
          <w:p w14:paraId="5EBDC8A6"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szCs w:val="22"/>
                <w:lang w:eastAsia="en-US"/>
              </w:rPr>
            </w:pPr>
            <w:r w:rsidRPr="004E70DD">
              <w:rPr>
                <w:rFonts w:eastAsia="Arial" w:cs="Arial"/>
                <w:szCs w:val="22"/>
                <w:lang w:eastAsia="en-US"/>
              </w:rPr>
              <w:t>Vysvětlení k položce</w:t>
            </w:r>
          </w:p>
        </w:tc>
      </w:tr>
      <w:tr w:rsidR="004E70DD" w:rsidRPr="004E70DD" w14:paraId="743E93ED" w14:textId="77777777" w:rsidTr="004E70DD">
        <w:tc>
          <w:tcPr>
            <w:tcW w:w="1416" w:type="pct"/>
            <w:tcBorders>
              <w:top w:val="single" w:sz="12" w:space="0" w:color="auto"/>
              <w:bottom w:val="single" w:sz="12" w:space="0" w:color="auto"/>
            </w:tcBorders>
            <w:shd w:val="clear" w:color="auto" w:fill="D9D9D9"/>
          </w:tcPr>
          <w:p w14:paraId="4B9C59A0"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szCs w:val="22"/>
                <w:lang w:eastAsia="en-US"/>
              </w:rPr>
            </w:pPr>
            <w:r w:rsidRPr="004E70DD">
              <w:rPr>
                <w:rFonts w:eastAsia="Arial" w:cs="Arial"/>
                <w:szCs w:val="22"/>
                <w:lang w:eastAsia="en-US"/>
              </w:rPr>
              <w:t>Počet měsíců trvání fáze</w:t>
            </w:r>
          </w:p>
        </w:tc>
        <w:tc>
          <w:tcPr>
            <w:tcW w:w="1046" w:type="pct"/>
            <w:tcBorders>
              <w:top w:val="single" w:sz="12" w:space="0" w:color="auto"/>
              <w:bottom w:val="single" w:sz="12" w:space="0" w:color="auto"/>
            </w:tcBorders>
            <w:shd w:val="clear" w:color="auto" w:fill="auto"/>
          </w:tcPr>
          <w:p w14:paraId="48273BFF"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center"/>
              <w:rPr>
                <w:rFonts w:eastAsia="Arial" w:cs="Arial"/>
                <w:color w:val="FF0000"/>
                <w:szCs w:val="22"/>
                <w:lang w:eastAsia="en-US"/>
              </w:rPr>
            </w:pPr>
            <w:r w:rsidRPr="004E70DD">
              <w:rPr>
                <w:rFonts w:eastAsia="Arial" w:cs="Arial"/>
                <w:color w:val="FF0000"/>
                <w:szCs w:val="22"/>
                <w:lang w:eastAsia="en-US"/>
              </w:rPr>
              <w:t>0</w:t>
            </w:r>
          </w:p>
        </w:tc>
        <w:tc>
          <w:tcPr>
            <w:tcW w:w="1047" w:type="pct"/>
            <w:tcBorders>
              <w:top w:val="single" w:sz="12" w:space="0" w:color="auto"/>
              <w:bottom w:val="single" w:sz="12" w:space="0" w:color="auto"/>
            </w:tcBorders>
            <w:shd w:val="clear" w:color="auto" w:fill="auto"/>
          </w:tcPr>
          <w:p w14:paraId="24357C8E"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center"/>
              <w:rPr>
                <w:rFonts w:eastAsia="Arial" w:cs="Arial"/>
                <w:color w:val="FF0000"/>
                <w:szCs w:val="22"/>
                <w:lang w:eastAsia="en-US"/>
              </w:rPr>
            </w:pPr>
            <w:r w:rsidRPr="004E70DD">
              <w:rPr>
                <w:rFonts w:eastAsia="Arial" w:cs="Arial"/>
                <w:color w:val="FF0000"/>
                <w:szCs w:val="22"/>
                <w:lang w:eastAsia="en-US"/>
              </w:rPr>
              <w:t>0</w:t>
            </w:r>
          </w:p>
        </w:tc>
        <w:tc>
          <w:tcPr>
            <w:tcW w:w="1490" w:type="pct"/>
            <w:tcBorders>
              <w:top w:val="single" w:sz="12" w:space="0" w:color="auto"/>
              <w:bottom w:val="single" w:sz="12" w:space="0" w:color="auto"/>
            </w:tcBorders>
            <w:shd w:val="clear" w:color="auto" w:fill="D9D9D9"/>
          </w:tcPr>
          <w:p w14:paraId="32F82209"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Calibri" w:cs="Arial"/>
                <w:szCs w:val="22"/>
                <w:lang w:eastAsia="en-US"/>
              </w:rPr>
            </w:pPr>
          </w:p>
        </w:tc>
      </w:tr>
      <w:tr w:rsidR="004E70DD" w:rsidRPr="004E70DD" w14:paraId="2F93409E" w14:textId="77777777" w:rsidTr="004E70DD">
        <w:tc>
          <w:tcPr>
            <w:tcW w:w="1416" w:type="pct"/>
            <w:tcBorders>
              <w:top w:val="single" w:sz="12" w:space="0" w:color="auto"/>
            </w:tcBorders>
            <w:shd w:val="clear" w:color="auto" w:fill="D9D9D9"/>
          </w:tcPr>
          <w:p w14:paraId="1FBDD114"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b/>
                <w:bCs/>
                <w:szCs w:val="22"/>
                <w:lang w:eastAsia="en-US"/>
              </w:rPr>
            </w:pPr>
            <w:r w:rsidRPr="004E70DD">
              <w:rPr>
                <w:rFonts w:eastAsia="Arial" w:cs="Arial"/>
                <w:szCs w:val="22"/>
                <w:lang w:eastAsia="en-US"/>
              </w:rPr>
              <w:t xml:space="preserve">A. Předběžné analýzy (vč. rizik), tvorba zadání, výběr řešení, výběr dodavatele – náklady nákupního procesu </w:t>
            </w:r>
          </w:p>
        </w:tc>
        <w:tc>
          <w:tcPr>
            <w:tcW w:w="1046" w:type="pct"/>
            <w:tcBorders>
              <w:top w:val="single" w:sz="12" w:space="0" w:color="auto"/>
            </w:tcBorders>
            <w:shd w:val="clear" w:color="auto" w:fill="auto"/>
          </w:tcPr>
          <w:p w14:paraId="500AA7FC"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047" w:type="pct"/>
            <w:tcBorders>
              <w:top w:val="single" w:sz="12" w:space="0" w:color="auto"/>
            </w:tcBorders>
            <w:shd w:val="clear" w:color="auto" w:fill="D9D9D9"/>
          </w:tcPr>
          <w:p w14:paraId="43DB3F78"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490" w:type="pct"/>
            <w:tcBorders>
              <w:top w:val="single" w:sz="12" w:space="0" w:color="auto"/>
            </w:tcBorders>
            <w:shd w:val="clear" w:color="auto" w:fill="auto"/>
          </w:tcPr>
          <w:p w14:paraId="4D1EBF07"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Calibri" w:cs="Arial"/>
                <w:szCs w:val="22"/>
                <w:lang w:eastAsia="en-US"/>
              </w:rPr>
            </w:pPr>
          </w:p>
        </w:tc>
      </w:tr>
      <w:tr w:rsidR="004E70DD" w:rsidRPr="004E70DD" w14:paraId="744300BE" w14:textId="77777777" w:rsidTr="004E70DD">
        <w:tc>
          <w:tcPr>
            <w:tcW w:w="1416" w:type="pct"/>
            <w:shd w:val="clear" w:color="auto" w:fill="D9D9D9"/>
          </w:tcPr>
          <w:p w14:paraId="3F22B568"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b/>
                <w:bCs/>
                <w:szCs w:val="22"/>
                <w:lang w:eastAsia="en-US"/>
              </w:rPr>
            </w:pPr>
            <w:r w:rsidRPr="004E70DD">
              <w:rPr>
                <w:rFonts w:eastAsia="Arial" w:cs="Arial"/>
                <w:szCs w:val="22"/>
                <w:lang w:eastAsia="en-US"/>
              </w:rPr>
              <w:t>B. Nákup SW a HW pro projekt</w:t>
            </w:r>
          </w:p>
          <w:p w14:paraId="31961F9D"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b/>
                <w:bCs/>
                <w:szCs w:val="22"/>
                <w:lang w:eastAsia="en-US"/>
              </w:rPr>
            </w:pPr>
            <w:r w:rsidRPr="004E70DD">
              <w:rPr>
                <w:rFonts w:eastAsia="Arial" w:cs="Arial"/>
                <w:szCs w:val="22"/>
                <w:lang w:eastAsia="en-US"/>
              </w:rPr>
              <w:t>(bez SaaS či PaaS)</w:t>
            </w:r>
          </w:p>
        </w:tc>
        <w:tc>
          <w:tcPr>
            <w:tcW w:w="1046" w:type="pct"/>
            <w:shd w:val="clear" w:color="auto" w:fill="auto"/>
          </w:tcPr>
          <w:p w14:paraId="674792CA"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047" w:type="pct"/>
            <w:shd w:val="clear" w:color="auto" w:fill="D9D9D9"/>
          </w:tcPr>
          <w:p w14:paraId="3FD73789"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Calibri" w:cs="Arial"/>
                <w:szCs w:val="22"/>
                <w:lang w:eastAsia="en-US"/>
              </w:rPr>
            </w:pPr>
          </w:p>
        </w:tc>
        <w:tc>
          <w:tcPr>
            <w:tcW w:w="1490" w:type="pct"/>
            <w:shd w:val="clear" w:color="auto" w:fill="auto"/>
          </w:tcPr>
          <w:p w14:paraId="3E7A48AE" w14:textId="531F940D"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color w:val="FF0000"/>
                <w:szCs w:val="22"/>
                <w:lang w:eastAsia="en-US"/>
              </w:rPr>
            </w:pPr>
            <w:r w:rsidRPr="004E70DD">
              <w:rPr>
                <w:rFonts w:eastAsia="Arial" w:cs="Arial"/>
                <w:color w:val="FF0000"/>
                <w:szCs w:val="22"/>
                <w:lang w:eastAsia="en-US"/>
              </w:rPr>
              <w:t xml:space="preserve">&lt;uveďte do tabulky </w:t>
            </w:r>
            <w:r>
              <w:rPr>
                <w:rFonts w:eastAsia="Arial" w:cs="Arial"/>
                <w:color w:val="FF0000"/>
                <w:szCs w:val="22"/>
                <w:lang w:eastAsia="en-US"/>
              </w:rPr>
              <w:t>„</w:t>
            </w:r>
            <w:r w:rsidRPr="004E70DD">
              <w:rPr>
                <w:rFonts w:eastAsia="Arial" w:cs="Arial"/>
                <w:color w:val="FF0000"/>
                <w:szCs w:val="22"/>
                <w:lang w:eastAsia="en-US"/>
              </w:rPr>
              <w:t>Vysvětlení a komentář k souhrnu výdajů a ekonomické náročnosti projektu</w:t>
            </w:r>
            <w:r w:rsidR="00CA339D">
              <w:rPr>
                <w:rFonts w:eastAsia="Arial" w:cs="Arial"/>
                <w:color w:val="FF0000"/>
                <w:szCs w:val="22"/>
                <w:lang w:eastAsia="en-US"/>
              </w:rPr>
              <w:t>“</w:t>
            </w:r>
            <w:r w:rsidRPr="004E70DD">
              <w:rPr>
                <w:rFonts w:eastAsia="Arial" w:cs="Arial"/>
                <w:color w:val="FF0000"/>
                <w:szCs w:val="22"/>
                <w:lang w:eastAsia="en-US"/>
              </w:rPr>
              <w:t xml:space="preserve"> nebo samostatné přílohy rozpad výdajů, pokud výdaj přesahuje 10</w:t>
            </w:r>
            <w:r w:rsidRPr="004E70DD">
              <w:rPr>
                <w:rFonts w:eastAsia="Arial" w:cs="Arial"/>
                <w:color w:val="FF0000"/>
                <w:szCs w:val="22"/>
                <w:lang w:val="en-US" w:eastAsia="en-US"/>
              </w:rPr>
              <w:t>% celkové ceny projektu</w:t>
            </w:r>
            <w:r w:rsidRPr="004E70DD">
              <w:rPr>
                <w:rFonts w:eastAsia="Cambria Math" w:cs="Arial"/>
                <w:color w:val="FF0000"/>
                <w:szCs w:val="22"/>
                <w:lang w:val="en-US" w:eastAsia="en-US"/>
              </w:rPr>
              <w:t xml:space="preserve"> </w:t>
            </w:r>
            <w:r w:rsidRPr="004E70DD">
              <w:rPr>
                <w:rFonts w:eastAsia="Arial" w:cs="Arial"/>
                <w:color w:val="FF0000"/>
                <w:szCs w:val="22"/>
                <w:lang w:val="en-US" w:eastAsia="en-US"/>
              </w:rPr>
              <w:t>a</w:t>
            </w:r>
            <w:r w:rsidRPr="004E70DD">
              <w:rPr>
                <w:rFonts w:eastAsia="Arial" w:cs="Arial"/>
                <w:color w:val="FF0000"/>
                <w:szCs w:val="22"/>
                <w:lang w:eastAsia="en-US"/>
              </w:rPr>
              <w:t xml:space="preserve"> současně přesahuje 1 mil. Kč&gt;</w:t>
            </w:r>
          </w:p>
        </w:tc>
      </w:tr>
      <w:tr w:rsidR="004E70DD" w:rsidRPr="004E70DD" w14:paraId="3DCD7AAC" w14:textId="77777777" w:rsidTr="004E70DD">
        <w:trPr>
          <w:cantSplit/>
        </w:trPr>
        <w:tc>
          <w:tcPr>
            <w:tcW w:w="1416" w:type="pct"/>
            <w:shd w:val="clear" w:color="auto" w:fill="D9D9D9"/>
          </w:tcPr>
          <w:p w14:paraId="49806871"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b/>
                <w:bCs/>
                <w:szCs w:val="22"/>
                <w:lang w:eastAsia="en-US"/>
              </w:rPr>
            </w:pPr>
            <w:r w:rsidRPr="004E70DD">
              <w:rPr>
                <w:rFonts w:eastAsia="Arial" w:cs="Arial"/>
                <w:szCs w:val="22"/>
                <w:lang w:eastAsia="en-US"/>
              </w:rPr>
              <w:t xml:space="preserve">C. Analýza, finální projekt, vývoj, implementace, školení uživatelů, zkušební provoz a testy, případně i migrace dat a akceptační audit </w:t>
            </w:r>
          </w:p>
        </w:tc>
        <w:tc>
          <w:tcPr>
            <w:tcW w:w="1046" w:type="pct"/>
            <w:shd w:val="clear" w:color="auto" w:fill="auto"/>
          </w:tcPr>
          <w:p w14:paraId="5E3394C9"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047" w:type="pct"/>
            <w:shd w:val="clear" w:color="auto" w:fill="D9D9D9"/>
          </w:tcPr>
          <w:p w14:paraId="7BDFC5C6"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Calibri" w:cs="Arial"/>
                <w:szCs w:val="22"/>
                <w:lang w:eastAsia="en-US"/>
              </w:rPr>
            </w:pPr>
          </w:p>
        </w:tc>
        <w:tc>
          <w:tcPr>
            <w:tcW w:w="1490" w:type="pct"/>
            <w:shd w:val="clear" w:color="auto" w:fill="auto"/>
          </w:tcPr>
          <w:p w14:paraId="52B32634" w14:textId="7C111203" w:rsidR="004E70DD" w:rsidRPr="004E70DD" w:rsidRDefault="004E70DD">
            <w:pPr>
              <w:tabs>
                <w:tab w:val="clear" w:pos="284"/>
                <w:tab w:val="clear" w:pos="567"/>
                <w:tab w:val="clear" w:pos="851"/>
                <w:tab w:val="clear" w:pos="1134"/>
                <w:tab w:val="clear" w:pos="1418"/>
                <w:tab w:val="clear" w:pos="9072"/>
              </w:tabs>
              <w:spacing w:before="40" w:after="40"/>
              <w:rPr>
                <w:rFonts w:eastAsia="Arial" w:cs="Arial"/>
                <w:color w:val="FF0000"/>
                <w:szCs w:val="22"/>
                <w:lang w:eastAsia="en-US"/>
              </w:rPr>
            </w:pPr>
            <w:r w:rsidRPr="004E70DD">
              <w:rPr>
                <w:rFonts w:eastAsia="Arial" w:cs="Arial"/>
                <w:color w:val="FF0000"/>
                <w:szCs w:val="22"/>
                <w:lang w:eastAsia="en-US"/>
              </w:rPr>
              <w:t xml:space="preserve">&lt;při jakékoliv částce uveďte do tabulky </w:t>
            </w:r>
            <w:r w:rsidR="00CA339D">
              <w:rPr>
                <w:rFonts w:eastAsia="Arial" w:cs="Arial"/>
                <w:color w:val="FF0000"/>
                <w:szCs w:val="22"/>
                <w:lang w:eastAsia="en-US"/>
              </w:rPr>
              <w:t>„</w:t>
            </w:r>
            <w:r w:rsidR="00CA339D" w:rsidRPr="004E70DD">
              <w:rPr>
                <w:rFonts w:eastAsia="Arial" w:cs="Arial"/>
                <w:color w:val="FF0000"/>
                <w:szCs w:val="22"/>
                <w:lang w:eastAsia="en-US"/>
              </w:rPr>
              <w:t>Vysvětlení a komentář k souhrnu výdajů a ekonomické náročnosti projektu</w:t>
            </w:r>
            <w:r w:rsidR="00CA339D">
              <w:rPr>
                <w:rFonts w:eastAsia="Arial" w:cs="Arial"/>
                <w:color w:val="FF0000"/>
                <w:szCs w:val="22"/>
                <w:lang w:eastAsia="en-US"/>
              </w:rPr>
              <w:t>“</w:t>
            </w:r>
            <w:r w:rsidR="00CA339D" w:rsidRPr="004E70DD">
              <w:rPr>
                <w:rFonts w:eastAsia="Arial" w:cs="Arial"/>
                <w:color w:val="FF0000"/>
                <w:szCs w:val="22"/>
                <w:lang w:eastAsia="en-US"/>
              </w:rPr>
              <w:t xml:space="preserve"> </w:t>
            </w:r>
            <w:r w:rsidRPr="004E70DD">
              <w:rPr>
                <w:rFonts w:eastAsia="Arial" w:cs="Arial"/>
                <w:color w:val="FF0000"/>
                <w:szCs w:val="22"/>
                <w:lang w:eastAsia="en-US"/>
              </w:rPr>
              <w:t>nebo samostatné přílohy seznam rolí s počtem člověkodnů a cenu za člověkoden&gt;</w:t>
            </w:r>
          </w:p>
        </w:tc>
      </w:tr>
      <w:tr w:rsidR="004E70DD" w:rsidRPr="004E70DD" w14:paraId="6547F3F3" w14:textId="77777777" w:rsidTr="004E70DD">
        <w:tc>
          <w:tcPr>
            <w:tcW w:w="1416" w:type="pct"/>
            <w:shd w:val="clear" w:color="auto" w:fill="D9D9D9"/>
          </w:tcPr>
          <w:p w14:paraId="0EE7F3E6"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b/>
                <w:bCs/>
                <w:szCs w:val="22"/>
                <w:lang w:eastAsia="en-US"/>
              </w:rPr>
            </w:pPr>
            <w:r w:rsidRPr="004E70DD">
              <w:rPr>
                <w:rFonts w:eastAsia="Arial" w:cs="Arial"/>
                <w:szCs w:val="22"/>
                <w:lang w:eastAsia="en-US"/>
              </w:rPr>
              <w:t>D. Provoz a podpora řešení HW a SW (bez SaaS či PaaS)</w:t>
            </w:r>
          </w:p>
        </w:tc>
        <w:tc>
          <w:tcPr>
            <w:tcW w:w="1046" w:type="pct"/>
            <w:shd w:val="clear" w:color="auto" w:fill="D9D9D9"/>
          </w:tcPr>
          <w:p w14:paraId="7384891B"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Calibri" w:cs="Arial"/>
                <w:szCs w:val="22"/>
                <w:lang w:eastAsia="en-US"/>
              </w:rPr>
            </w:pPr>
          </w:p>
        </w:tc>
        <w:tc>
          <w:tcPr>
            <w:tcW w:w="1047" w:type="pct"/>
            <w:shd w:val="clear" w:color="auto" w:fill="auto"/>
          </w:tcPr>
          <w:p w14:paraId="3E8CC6BF"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490" w:type="pct"/>
            <w:shd w:val="clear" w:color="auto" w:fill="auto"/>
          </w:tcPr>
          <w:p w14:paraId="39B163A1" w14:textId="6F12417B"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color w:val="FF0000"/>
                <w:szCs w:val="22"/>
                <w:lang w:eastAsia="en-US"/>
              </w:rPr>
            </w:pPr>
            <w:r w:rsidRPr="004E70DD">
              <w:rPr>
                <w:rFonts w:eastAsia="Arial" w:cs="Arial"/>
                <w:color w:val="FF0000"/>
                <w:szCs w:val="22"/>
                <w:lang w:eastAsia="en-US"/>
              </w:rPr>
              <w:t xml:space="preserve">&lt;uveďte do tabulky </w:t>
            </w:r>
            <w:r w:rsidR="00CA339D">
              <w:rPr>
                <w:rFonts w:eastAsia="Arial" w:cs="Arial"/>
                <w:color w:val="FF0000"/>
                <w:szCs w:val="22"/>
                <w:lang w:eastAsia="en-US"/>
              </w:rPr>
              <w:t>„</w:t>
            </w:r>
            <w:r w:rsidR="00CA339D" w:rsidRPr="004E70DD">
              <w:rPr>
                <w:rFonts w:eastAsia="Arial" w:cs="Arial"/>
                <w:color w:val="FF0000"/>
                <w:szCs w:val="22"/>
                <w:lang w:eastAsia="en-US"/>
              </w:rPr>
              <w:t>Vysvětlení a komentář k souhrnu výdajů a ekonomické náročnosti projektu</w:t>
            </w:r>
            <w:r w:rsidR="00CA339D">
              <w:rPr>
                <w:rFonts w:eastAsia="Arial" w:cs="Arial"/>
                <w:color w:val="FF0000"/>
                <w:szCs w:val="22"/>
                <w:lang w:eastAsia="en-US"/>
              </w:rPr>
              <w:t>“</w:t>
            </w:r>
            <w:r w:rsidR="00CA339D" w:rsidRPr="004E70DD">
              <w:rPr>
                <w:rFonts w:eastAsia="Arial" w:cs="Arial"/>
                <w:color w:val="FF0000"/>
                <w:szCs w:val="22"/>
                <w:lang w:eastAsia="en-US"/>
              </w:rPr>
              <w:t xml:space="preserve"> </w:t>
            </w:r>
            <w:r w:rsidRPr="004E70DD">
              <w:rPr>
                <w:rFonts w:eastAsia="Arial" w:cs="Arial"/>
                <w:color w:val="FF0000"/>
                <w:szCs w:val="22"/>
                <w:lang w:eastAsia="en-US"/>
              </w:rPr>
              <w:t>nebo samostatné přílohy rozpad výdajů, pokud roční provoz a podpora přesahuje 20% celkové ceny řešení&gt;</w:t>
            </w:r>
          </w:p>
        </w:tc>
      </w:tr>
      <w:tr w:rsidR="004E70DD" w:rsidRPr="004E70DD" w14:paraId="3743357F" w14:textId="77777777" w:rsidTr="004E70DD">
        <w:tc>
          <w:tcPr>
            <w:tcW w:w="1416" w:type="pct"/>
            <w:shd w:val="clear" w:color="auto" w:fill="D9D9D9"/>
          </w:tcPr>
          <w:p w14:paraId="146690AA"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b/>
                <w:bCs/>
                <w:szCs w:val="22"/>
                <w:lang w:eastAsia="en-US"/>
              </w:rPr>
            </w:pPr>
            <w:r w:rsidRPr="004E70DD">
              <w:rPr>
                <w:rFonts w:eastAsia="Arial" w:cs="Arial"/>
                <w:szCs w:val="22"/>
                <w:lang w:eastAsia="en-US"/>
              </w:rPr>
              <w:t>E. Hardware/Software údržba a průběžné úpravy (bez SaaS či PaaS)</w:t>
            </w:r>
          </w:p>
        </w:tc>
        <w:tc>
          <w:tcPr>
            <w:tcW w:w="1046" w:type="pct"/>
            <w:shd w:val="clear" w:color="auto" w:fill="D9D9D9"/>
          </w:tcPr>
          <w:p w14:paraId="3DC88600"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Calibri" w:cs="Arial"/>
                <w:szCs w:val="22"/>
                <w:lang w:eastAsia="en-US"/>
              </w:rPr>
            </w:pPr>
          </w:p>
        </w:tc>
        <w:tc>
          <w:tcPr>
            <w:tcW w:w="1047" w:type="pct"/>
            <w:shd w:val="clear" w:color="auto" w:fill="auto"/>
          </w:tcPr>
          <w:p w14:paraId="50C98956"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490" w:type="pct"/>
            <w:shd w:val="clear" w:color="auto" w:fill="auto"/>
          </w:tcPr>
          <w:p w14:paraId="5EA69230" w14:textId="7B8E7384"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color w:val="FF0000"/>
                <w:szCs w:val="22"/>
                <w:lang w:eastAsia="en-US"/>
              </w:rPr>
            </w:pPr>
            <w:r w:rsidRPr="004E70DD">
              <w:rPr>
                <w:rFonts w:eastAsia="Arial" w:cs="Arial"/>
                <w:color w:val="FF0000"/>
                <w:szCs w:val="22"/>
                <w:lang w:eastAsia="en-US"/>
              </w:rPr>
              <w:t xml:space="preserve">&lt;uveďte do tabulky </w:t>
            </w:r>
            <w:r w:rsidR="00CA339D">
              <w:rPr>
                <w:rFonts w:eastAsia="Arial" w:cs="Arial"/>
                <w:color w:val="FF0000"/>
                <w:szCs w:val="22"/>
                <w:lang w:eastAsia="en-US"/>
              </w:rPr>
              <w:t>„</w:t>
            </w:r>
            <w:r w:rsidR="00CA339D" w:rsidRPr="004E70DD">
              <w:rPr>
                <w:rFonts w:eastAsia="Arial" w:cs="Arial"/>
                <w:color w:val="FF0000"/>
                <w:szCs w:val="22"/>
                <w:lang w:eastAsia="en-US"/>
              </w:rPr>
              <w:t>Vysvětlení a komentář k souhrnu výdajů a ekonomické náročnosti projektu</w:t>
            </w:r>
            <w:r w:rsidR="00CA339D">
              <w:rPr>
                <w:rFonts w:eastAsia="Arial" w:cs="Arial"/>
                <w:color w:val="FF0000"/>
                <w:szCs w:val="22"/>
                <w:lang w:eastAsia="en-US"/>
              </w:rPr>
              <w:t>“</w:t>
            </w:r>
            <w:r w:rsidR="00CA339D" w:rsidRPr="004E70DD">
              <w:rPr>
                <w:rFonts w:eastAsia="Arial" w:cs="Arial"/>
                <w:color w:val="FF0000"/>
                <w:szCs w:val="22"/>
                <w:lang w:eastAsia="en-US"/>
              </w:rPr>
              <w:t xml:space="preserve"> </w:t>
            </w:r>
            <w:r w:rsidRPr="004E70DD">
              <w:rPr>
                <w:rFonts w:eastAsia="Arial" w:cs="Arial"/>
                <w:color w:val="FF0000"/>
                <w:szCs w:val="22"/>
                <w:lang w:eastAsia="en-US"/>
              </w:rPr>
              <w:t>či samostatné přílohy rozpad výdajů, pokud roční údržba a průběžné úpravy přesahuje 20% celkové ceny řešení&gt;</w:t>
            </w:r>
          </w:p>
        </w:tc>
      </w:tr>
      <w:tr w:rsidR="004E70DD" w:rsidRPr="004E70DD" w14:paraId="631D2D81" w14:textId="77777777" w:rsidTr="004E70DD">
        <w:tc>
          <w:tcPr>
            <w:tcW w:w="1416" w:type="pct"/>
            <w:shd w:val="clear" w:color="auto" w:fill="D9D9D9"/>
          </w:tcPr>
          <w:p w14:paraId="28681EDB"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b/>
                <w:bCs/>
                <w:szCs w:val="22"/>
                <w:lang w:eastAsia="en-US"/>
              </w:rPr>
            </w:pPr>
            <w:r w:rsidRPr="004E70DD">
              <w:rPr>
                <w:rFonts w:eastAsia="Arial" w:cs="Arial"/>
                <w:szCs w:val="22"/>
                <w:lang w:eastAsia="en-US"/>
              </w:rPr>
              <w:t>F. Projekty postupné inovace a zlepšování (plánované)</w:t>
            </w:r>
          </w:p>
        </w:tc>
        <w:tc>
          <w:tcPr>
            <w:tcW w:w="1046" w:type="pct"/>
            <w:shd w:val="clear" w:color="auto" w:fill="auto"/>
          </w:tcPr>
          <w:p w14:paraId="3D74899B"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047" w:type="pct"/>
            <w:shd w:val="clear" w:color="auto" w:fill="auto"/>
          </w:tcPr>
          <w:p w14:paraId="3ACFD52D"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490" w:type="pct"/>
            <w:shd w:val="clear" w:color="auto" w:fill="auto"/>
          </w:tcPr>
          <w:p w14:paraId="5231FF54"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Calibri" w:cs="Arial"/>
                <w:color w:val="FF0000"/>
                <w:szCs w:val="22"/>
                <w:lang w:eastAsia="en-US"/>
              </w:rPr>
            </w:pPr>
          </w:p>
        </w:tc>
      </w:tr>
      <w:tr w:rsidR="004E70DD" w:rsidRPr="004E70DD" w14:paraId="4C4DBE61" w14:textId="77777777" w:rsidTr="004E70DD">
        <w:tc>
          <w:tcPr>
            <w:tcW w:w="1416" w:type="pct"/>
            <w:shd w:val="clear" w:color="auto" w:fill="D9D9D9"/>
          </w:tcPr>
          <w:p w14:paraId="71678E98"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b/>
                <w:bCs/>
                <w:szCs w:val="22"/>
                <w:lang w:eastAsia="en-US"/>
              </w:rPr>
            </w:pPr>
            <w:r w:rsidRPr="004E70DD">
              <w:rPr>
                <w:rFonts w:eastAsia="Arial" w:cs="Arial"/>
                <w:szCs w:val="22"/>
                <w:lang w:eastAsia="en-US"/>
              </w:rPr>
              <w:t>G. Projekty upgrade (pokud jsou plánovány)</w:t>
            </w:r>
          </w:p>
        </w:tc>
        <w:tc>
          <w:tcPr>
            <w:tcW w:w="1046" w:type="pct"/>
            <w:shd w:val="clear" w:color="auto" w:fill="auto"/>
          </w:tcPr>
          <w:p w14:paraId="2CD64A2A"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047" w:type="pct"/>
            <w:shd w:val="clear" w:color="auto" w:fill="auto"/>
          </w:tcPr>
          <w:p w14:paraId="33E80B4B"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490" w:type="pct"/>
            <w:shd w:val="clear" w:color="auto" w:fill="auto"/>
          </w:tcPr>
          <w:p w14:paraId="68061482"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Calibri" w:cs="Arial"/>
                <w:color w:val="FF0000"/>
                <w:szCs w:val="22"/>
                <w:lang w:eastAsia="en-US"/>
              </w:rPr>
            </w:pPr>
          </w:p>
        </w:tc>
      </w:tr>
      <w:tr w:rsidR="004E70DD" w:rsidRPr="004E70DD" w14:paraId="2F174D27" w14:textId="77777777" w:rsidTr="004E70DD">
        <w:tc>
          <w:tcPr>
            <w:tcW w:w="1416" w:type="pct"/>
            <w:shd w:val="clear" w:color="auto" w:fill="D9D9D9"/>
          </w:tcPr>
          <w:p w14:paraId="5D8D7271"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b/>
                <w:bCs/>
                <w:szCs w:val="22"/>
                <w:lang w:eastAsia="en-US"/>
              </w:rPr>
            </w:pPr>
            <w:r w:rsidRPr="004E70DD">
              <w:rPr>
                <w:rFonts w:eastAsia="Arial" w:cs="Arial"/>
                <w:szCs w:val="22"/>
                <w:lang w:eastAsia="en-US"/>
              </w:rPr>
              <w:t>H. Zvýšené náklady užívání řešení vč. nákladů na přechod z předchozího řešení (pokud se vyskytnou)</w:t>
            </w:r>
          </w:p>
        </w:tc>
        <w:tc>
          <w:tcPr>
            <w:tcW w:w="1046" w:type="pct"/>
            <w:shd w:val="clear" w:color="auto" w:fill="auto"/>
          </w:tcPr>
          <w:p w14:paraId="166C45C6"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047" w:type="pct"/>
            <w:shd w:val="clear" w:color="auto" w:fill="auto"/>
          </w:tcPr>
          <w:p w14:paraId="52BD85E9"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490" w:type="pct"/>
            <w:shd w:val="clear" w:color="auto" w:fill="auto"/>
          </w:tcPr>
          <w:p w14:paraId="4BC71256"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Calibri" w:cs="Arial"/>
                <w:color w:val="FF0000"/>
                <w:szCs w:val="22"/>
                <w:lang w:eastAsia="en-US"/>
              </w:rPr>
            </w:pPr>
          </w:p>
        </w:tc>
      </w:tr>
      <w:tr w:rsidR="004E70DD" w:rsidRPr="004E70DD" w14:paraId="1BBD5ADF" w14:textId="77777777" w:rsidTr="004E70DD">
        <w:tc>
          <w:tcPr>
            <w:tcW w:w="1416" w:type="pct"/>
            <w:shd w:val="clear" w:color="auto" w:fill="D9D9D9"/>
          </w:tcPr>
          <w:p w14:paraId="2BF797D4"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szCs w:val="22"/>
                <w:lang w:eastAsia="en-US"/>
              </w:rPr>
            </w:pPr>
            <w:r w:rsidRPr="004E70DD">
              <w:rPr>
                <w:rFonts w:eastAsia="Arial" w:cs="Arial"/>
                <w:szCs w:val="22"/>
                <w:lang w:eastAsia="en-US"/>
              </w:rPr>
              <w:t>I. Útlum, konzervace a ukončení řešení</w:t>
            </w:r>
          </w:p>
        </w:tc>
        <w:tc>
          <w:tcPr>
            <w:tcW w:w="1046" w:type="pct"/>
            <w:shd w:val="clear" w:color="auto" w:fill="auto"/>
          </w:tcPr>
          <w:p w14:paraId="54885E81"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047" w:type="pct"/>
            <w:shd w:val="clear" w:color="auto" w:fill="auto"/>
          </w:tcPr>
          <w:p w14:paraId="0E9E6770"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490" w:type="pct"/>
            <w:shd w:val="clear" w:color="auto" w:fill="auto"/>
          </w:tcPr>
          <w:p w14:paraId="6DF2EEBB" w14:textId="244D9674"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color w:val="FF0000"/>
                <w:szCs w:val="22"/>
                <w:lang w:eastAsia="en-US"/>
              </w:rPr>
            </w:pPr>
            <w:r w:rsidRPr="004E70DD">
              <w:rPr>
                <w:rFonts w:eastAsia="Arial" w:cs="Arial"/>
                <w:color w:val="FF0000"/>
                <w:szCs w:val="22"/>
                <w:lang w:eastAsia="en-US"/>
              </w:rPr>
              <w:t xml:space="preserve">&lt;uveďte do tabulky </w:t>
            </w:r>
            <w:r w:rsidR="00CA339D">
              <w:rPr>
                <w:rFonts w:eastAsia="Arial" w:cs="Arial"/>
                <w:color w:val="FF0000"/>
                <w:szCs w:val="22"/>
                <w:lang w:eastAsia="en-US"/>
              </w:rPr>
              <w:t>„</w:t>
            </w:r>
            <w:r w:rsidR="00CA339D" w:rsidRPr="004E70DD">
              <w:rPr>
                <w:rFonts w:eastAsia="Arial" w:cs="Arial"/>
                <w:color w:val="FF0000"/>
                <w:szCs w:val="22"/>
                <w:lang w:eastAsia="en-US"/>
              </w:rPr>
              <w:t>Vysvětlení a komentář k souhrnu výdajů a ekonomické náročnosti projektu</w:t>
            </w:r>
            <w:r w:rsidR="00CA339D">
              <w:rPr>
                <w:rFonts w:eastAsia="Arial" w:cs="Arial"/>
                <w:color w:val="FF0000"/>
                <w:szCs w:val="22"/>
                <w:lang w:eastAsia="en-US"/>
              </w:rPr>
              <w:t>“</w:t>
            </w:r>
            <w:r w:rsidR="00CA339D" w:rsidRPr="004E70DD">
              <w:rPr>
                <w:rFonts w:eastAsia="Arial" w:cs="Arial"/>
                <w:color w:val="FF0000"/>
                <w:szCs w:val="22"/>
                <w:lang w:eastAsia="en-US"/>
              </w:rPr>
              <w:t xml:space="preserve"> </w:t>
            </w:r>
            <w:r w:rsidRPr="004E70DD">
              <w:rPr>
                <w:rFonts w:eastAsia="Arial" w:cs="Arial"/>
                <w:color w:val="FF0000"/>
                <w:szCs w:val="22"/>
                <w:lang w:eastAsia="en-US"/>
              </w:rPr>
              <w:t>nebo samostatné přílohy rozpad výdajů, pokud útlum, konzervace a ukončení řešení přesahuje 10% celkové ceny řešení&gt;</w:t>
            </w:r>
          </w:p>
        </w:tc>
      </w:tr>
      <w:tr w:rsidR="004E70DD" w:rsidRPr="004E70DD" w14:paraId="6B006250" w14:textId="77777777" w:rsidTr="004E70DD">
        <w:tc>
          <w:tcPr>
            <w:tcW w:w="1416" w:type="pct"/>
            <w:shd w:val="clear" w:color="auto" w:fill="D9D9D9"/>
          </w:tcPr>
          <w:p w14:paraId="4A53D5E2"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b/>
                <w:bCs/>
                <w:szCs w:val="22"/>
                <w:lang w:eastAsia="en-US"/>
              </w:rPr>
            </w:pPr>
            <w:r w:rsidRPr="004E70DD">
              <w:rPr>
                <w:rFonts w:eastAsia="Arial" w:cs="Arial"/>
                <w:szCs w:val="22"/>
                <w:lang w:eastAsia="en-US"/>
              </w:rPr>
              <w:t>X. Licence, HW, provoz, podpora, údržba, průběžný rozvoj – vše v subskripci (pouze SaaS a PaaS)</w:t>
            </w:r>
          </w:p>
        </w:tc>
        <w:tc>
          <w:tcPr>
            <w:tcW w:w="1046" w:type="pct"/>
            <w:shd w:val="clear" w:color="auto" w:fill="auto"/>
          </w:tcPr>
          <w:p w14:paraId="0D4113C6"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047" w:type="pct"/>
            <w:shd w:val="clear" w:color="auto" w:fill="auto"/>
          </w:tcPr>
          <w:p w14:paraId="14A05026"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490" w:type="pct"/>
            <w:shd w:val="clear" w:color="auto" w:fill="auto"/>
          </w:tcPr>
          <w:p w14:paraId="652F84A4" w14:textId="6D2B40F1"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color w:val="FF0000"/>
                <w:szCs w:val="22"/>
                <w:lang w:eastAsia="en-US"/>
              </w:rPr>
            </w:pPr>
            <w:r w:rsidRPr="004E70DD">
              <w:rPr>
                <w:rFonts w:eastAsia="Arial" w:cs="Arial"/>
                <w:color w:val="FF0000"/>
                <w:szCs w:val="22"/>
                <w:lang w:eastAsia="en-US"/>
              </w:rPr>
              <w:t xml:space="preserve">&lt;uveďte do tabulky </w:t>
            </w:r>
            <w:r w:rsidR="00CA339D">
              <w:rPr>
                <w:rFonts w:eastAsia="Arial" w:cs="Arial"/>
                <w:color w:val="FF0000"/>
                <w:szCs w:val="22"/>
                <w:lang w:eastAsia="en-US"/>
              </w:rPr>
              <w:t>„</w:t>
            </w:r>
            <w:r w:rsidR="00CA339D" w:rsidRPr="004E70DD">
              <w:rPr>
                <w:rFonts w:eastAsia="Arial" w:cs="Arial"/>
                <w:color w:val="FF0000"/>
                <w:szCs w:val="22"/>
                <w:lang w:eastAsia="en-US"/>
              </w:rPr>
              <w:t>Vysvětlení a komentář k souhrnu výdajů a ekonomické náročnosti projektu</w:t>
            </w:r>
            <w:r w:rsidR="00CA339D">
              <w:rPr>
                <w:rFonts w:eastAsia="Arial" w:cs="Arial"/>
                <w:color w:val="FF0000"/>
                <w:szCs w:val="22"/>
                <w:lang w:eastAsia="en-US"/>
              </w:rPr>
              <w:t>“</w:t>
            </w:r>
            <w:r w:rsidR="00CA339D" w:rsidRPr="004E70DD">
              <w:rPr>
                <w:rFonts w:eastAsia="Arial" w:cs="Arial"/>
                <w:color w:val="FF0000"/>
                <w:szCs w:val="22"/>
                <w:lang w:eastAsia="en-US"/>
              </w:rPr>
              <w:t xml:space="preserve"> </w:t>
            </w:r>
            <w:r w:rsidRPr="004E70DD">
              <w:rPr>
                <w:rFonts w:eastAsia="Arial" w:cs="Arial"/>
                <w:color w:val="FF0000"/>
                <w:szCs w:val="22"/>
                <w:lang w:eastAsia="en-US"/>
              </w:rPr>
              <w:t>nebo samostatné přílohy rozpad výdajů, pokud výdaj na SaaS a PaaS přesahuje 1 mil. Kč&gt;</w:t>
            </w:r>
          </w:p>
        </w:tc>
      </w:tr>
      <w:tr w:rsidR="004E70DD" w:rsidRPr="004E70DD" w14:paraId="015E7C5A" w14:textId="77777777" w:rsidTr="004E70DD">
        <w:tc>
          <w:tcPr>
            <w:tcW w:w="1416" w:type="pct"/>
            <w:tcBorders>
              <w:bottom w:val="single" w:sz="12" w:space="0" w:color="auto"/>
            </w:tcBorders>
            <w:shd w:val="clear" w:color="auto" w:fill="D9D9D9"/>
          </w:tcPr>
          <w:p w14:paraId="08C895FF"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b/>
                <w:bCs/>
                <w:szCs w:val="22"/>
                <w:lang w:eastAsia="en-US"/>
              </w:rPr>
            </w:pPr>
            <w:r w:rsidRPr="004E70DD">
              <w:rPr>
                <w:rFonts w:eastAsia="Arial" w:cs="Arial"/>
                <w:szCs w:val="22"/>
                <w:lang w:eastAsia="en-US"/>
              </w:rPr>
              <w:t xml:space="preserve">Z. Ostatní nerozlišené režijní náklady </w:t>
            </w:r>
          </w:p>
        </w:tc>
        <w:tc>
          <w:tcPr>
            <w:tcW w:w="1046" w:type="pct"/>
            <w:tcBorders>
              <w:bottom w:val="single" w:sz="12" w:space="0" w:color="auto"/>
            </w:tcBorders>
            <w:shd w:val="clear" w:color="auto" w:fill="auto"/>
          </w:tcPr>
          <w:p w14:paraId="122EFFBA"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047" w:type="pct"/>
            <w:tcBorders>
              <w:bottom w:val="single" w:sz="12" w:space="0" w:color="auto"/>
            </w:tcBorders>
            <w:shd w:val="clear" w:color="auto" w:fill="auto"/>
          </w:tcPr>
          <w:p w14:paraId="30153CDE"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490" w:type="pct"/>
            <w:tcBorders>
              <w:bottom w:val="single" w:sz="12" w:space="0" w:color="auto"/>
            </w:tcBorders>
            <w:shd w:val="clear" w:color="auto" w:fill="auto"/>
          </w:tcPr>
          <w:p w14:paraId="39CCD043" w14:textId="1C39AD11"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color w:val="FF0000"/>
                <w:szCs w:val="22"/>
                <w:lang w:eastAsia="en-US"/>
              </w:rPr>
            </w:pPr>
            <w:r w:rsidRPr="004E70DD">
              <w:rPr>
                <w:rFonts w:eastAsia="Arial" w:cs="Arial"/>
                <w:color w:val="FF0000"/>
                <w:szCs w:val="22"/>
                <w:lang w:eastAsia="en-US"/>
              </w:rPr>
              <w:t xml:space="preserve">&lt;uveďte do tabulky </w:t>
            </w:r>
            <w:r w:rsidR="00CA339D">
              <w:rPr>
                <w:rFonts w:eastAsia="Arial" w:cs="Arial"/>
                <w:color w:val="FF0000"/>
                <w:szCs w:val="22"/>
                <w:lang w:eastAsia="en-US"/>
              </w:rPr>
              <w:t>„</w:t>
            </w:r>
            <w:r w:rsidR="00CA339D" w:rsidRPr="004E70DD">
              <w:rPr>
                <w:rFonts w:eastAsia="Arial" w:cs="Arial"/>
                <w:color w:val="FF0000"/>
                <w:szCs w:val="22"/>
                <w:lang w:eastAsia="en-US"/>
              </w:rPr>
              <w:t>Vysvětlení a komentář k souhrnu výdajů a ekonomické náročnosti projektu</w:t>
            </w:r>
            <w:r w:rsidR="00CA339D">
              <w:rPr>
                <w:rFonts w:eastAsia="Arial" w:cs="Arial"/>
                <w:color w:val="FF0000"/>
                <w:szCs w:val="22"/>
                <w:lang w:eastAsia="en-US"/>
              </w:rPr>
              <w:t>“</w:t>
            </w:r>
            <w:r w:rsidR="00CA339D" w:rsidRPr="004E70DD">
              <w:rPr>
                <w:rFonts w:eastAsia="Arial" w:cs="Arial"/>
                <w:color w:val="FF0000"/>
                <w:szCs w:val="22"/>
                <w:lang w:eastAsia="en-US"/>
              </w:rPr>
              <w:t xml:space="preserve"> </w:t>
            </w:r>
            <w:r w:rsidRPr="004E70DD">
              <w:rPr>
                <w:rFonts w:eastAsia="Arial" w:cs="Arial"/>
                <w:color w:val="FF0000"/>
                <w:szCs w:val="22"/>
                <w:lang w:eastAsia="en-US"/>
              </w:rPr>
              <w:t>nebo samostatné přílohy rozpad výdajů, pokud výdaj na nerozlišenou režii přesahuje 0,5 mil. Kč&gt;</w:t>
            </w:r>
          </w:p>
        </w:tc>
      </w:tr>
      <w:tr w:rsidR="004E70DD" w:rsidRPr="004E70DD" w14:paraId="172646A6" w14:textId="77777777" w:rsidTr="004E70DD">
        <w:tc>
          <w:tcPr>
            <w:tcW w:w="1416" w:type="pct"/>
            <w:tcBorders>
              <w:top w:val="single" w:sz="12" w:space="0" w:color="auto"/>
            </w:tcBorders>
            <w:shd w:val="clear" w:color="auto" w:fill="D9D9D9"/>
          </w:tcPr>
          <w:p w14:paraId="20D52C4A"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Arial" w:cs="Arial"/>
                <w:szCs w:val="22"/>
                <w:lang w:eastAsia="en-US"/>
              </w:rPr>
            </w:pPr>
            <w:r w:rsidRPr="004E70DD">
              <w:rPr>
                <w:rFonts w:eastAsia="Arial" w:cs="Arial"/>
                <w:szCs w:val="22"/>
                <w:lang w:eastAsia="en-US"/>
              </w:rPr>
              <w:t>Celkem</w:t>
            </w:r>
          </w:p>
        </w:tc>
        <w:tc>
          <w:tcPr>
            <w:tcW w:w="1046" w:type="pct"/>
            <w:tcBorders>
              <w:top w:val="single" w:sz="12" w:space="0" w:color="auto"/>
            </w:tcBorders>
            <w:shd w:val="clear" w:color="auto" w:fill="auto"/>
          </w:tcPr>
          <w:p w14:paraId="2D10D113"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szCs w:val="22"/>
                <w:lang w:eastAsia="en-US"/>
              </w:rPr>
            </w:pPr>
            <w:r w:rsidRPr="004E70DD">
              <w:rPr>
                <w:rFonts w:eastAsia="Arial" w:cs="Arial"/>
                <w:szCs w:val="22"/>
                <w:lang w:eastAsia="en-US"/>
              </w:rPr>
              <w:t>0</w:t>
            </w:r>
          </w:p>
        </w:tc>
        <w:tc>
          <w:tcPr>
            <w:tcW w:w="1047" w:type="pct"/>
            <w:tcBorders>
              <w:top w:val="single" w:sz="12" w:space="0" w:color="auto"/>
            </w:tcBorders>
            <w:shd w:val="clear" w:color="auto" w:fill="auto"/>
          </w:tcPr>
          <w:p w14:paraId="7931A219" w14:textId="77777777" w:rsidR="004E70DD" w:rsidRPr="004E70DD" w:rsidRDefault="004E70DD" w:rsidP="004E70DD">
            <w:pPr>
              <w:tabs>
                <w:tab w:val="clear" w:pos="284"/>
                <w:tab w:val="clear" w:pos="567"/>
                <w:tab w:val="clear" w:pos="851"/>
                <w:tab w:val="clear" w:pos="1134"/>
                <w:tab w:val="clear" w:pos="1418"/>
                <w:tab w:val="clear" w:pos="9072"/>
              </w:tabs>
              <w:spacing w:before="40" w:after="40"/>
              <w:jc w:val="right"/>
              <w:rPr>
                <w:rFonts w:eastAsia="Arial" w:cs="Arial"/>
                <w:b/>
                <w:bCs/>
                <w:szCs w:val="22"/>
                <w:lang w:eastAsia="en-US"/>
              </w:rPr>
            </w:pPr>
            <w:r w:rsidRPr="004E70DD">
              <w:rPr>
                <w:rFonts w:eastAsia="Arial" w:cs="Arial"/>
                <w:b/>
                <w:bCs/>
                <w:szCs w:val="22"/>
                <w:lang w:eastAsia="en-US"/>
              </w:rPr>
              <w:t>0</w:t>
            </w:r>
          </w:p>
        </w:tc>
        <w:tc>
          <w:tcPr>
            <w:tcW w:w="1490" w:type="pct"/>
            <w:tcBorders>
              <w:top w:val="single" w:sz="12" w:space="0" w:color="auto"/>
            </w:tcBorders>
            <w:shd w:val="clear" w:color="auto" w:fill="auto"/>
          </w:tcPr>
          <w:p w14:paraId="002499A0" w14:textId="77777777" w:rsidR="004E70DD" w:rsidRPr="004E70DD" w:rsidRDefault="004E70DD" w:rsidP="004E70DD">
            <w:pPr>
              <w:tabs>
                <w:tab w:val="clear" w:pos="284"/>
                <w:tab w:val="clear" w:pos="567"/>
                <w:tab w:val="clear" w:pos="851"/>
                <w:tab w:val="clear" w:pos="1134"/>
                <w:tab w:val="clear" w:pos="1418"/>
                <w:tab w:val="clear" w:pos="9072"/>
              </w:tabs>
              <w:spacing w:before="40" w:after="40"/>
              <w:rPr>
                <w:rFonts w:eastAsia="Calibri" w:cs="Arial"/>
                <w:b/>
                <w:szCs w:val="22"/>
                <w:lang w:eastAsia="en-US"/>
              </w:rPr>
            </w:pPr>
          </w:p>
        </w:tc>
      </w:tr>
    </w:tbl>
    <w:p w14:paraId="0A960A2F" w14:textId="57733C81" w:rsidR="004F61BD" w:rsidRPr="004E2B72" w:rsidRDefault="004F61BD" w:rsidP="00073E78">
      <w:pPr>
        <w:pStyle w:val="Zkladntext"/>
        <w:jc w:val="both"/>
        <w:rPr>
          <w:rFonts w:cs="Arial"/>
          <w:bCs/>
        </w:rPr>
      </w:pPr>
    </w:p>
    <w:p w14:paraId="6498FF29" w14:textId="3219A4A7" w:rsidR="00661F37" w:rsidRPr="004E2B72" w:rsidRDefault="00661F37" w:rsidP="00073E78">
      <w:pPr>
        <w:pStyle w:val="Nadpis3"/>
        <w:jc w:val="both"/>
        <w:rPr>
          <w:rFonts w:cs="Arial"/>
        </w:rPr>
      </w:pPr>
      <w:bookmarkStart w:id="35" w:name="_Toc120784685"/>
      <w:r w:rsidRPr="004E2B72">
        <w:rPr>
          <w:rFonts w:cs="Arial"/>
        </w:rPr>
        <w:t>Vyčíslení ekonomické náročnosti pomocí TCO</w:t>
      </w:r>
      <w:bookmarkEnd w:id="35"/>
    </w:p>
    <w:p w14:paraId="27CFC13B" w14:textId="20CD8E9A" w:rsidR="00ED1DFB" w:rsidRPr="004E2B72" w:rsidRDefault="00ED1DFB" w:rsidP="00073E78">
      <w:pPr>
        <w:pStyle w:val="Zkladntext"/>
        <w:jc w:val="both"/>
        <w:rPr>
          <w:rFonts w:cs="Arial"/>
          <w:i/>
        </w:rPr>
      </w:pPr>
      <w:r w:rsidRPr="004E2B72">
        <w:rPr>
          <w:rFonts w:cs="Arial"/>
        </w:rPr>
        <w:t xml:space="preserve">Základních zásady, viz také výše, záměrně vyžadují </w:t>
      </w:r>
      <w:r w:rsidRPr="004E2B72">
        <w:rPr>
          <w:rFonts w:cs="Arial"/>
          <w:i/>
        </w:rPr>
        <w:t>„finanční vyčíslení předpokládané ekonomické náročnosti projektu založené na metodologii 5 letých celkových nákladů vlastnictví (tzv. total costs of ownership)“.</w:t>
      </w:r>
    </w:p>
    <w:p w14:paraId="4821975F" w14:textId="1098A07F" w:rsidR="00BB42D5" w:rsidRPr="004E2B72" w:rsidRDefault="00ED1DFB" w:rsidP="00073E78">
      <w:pPr>
        <w:pStyle w:val="Zkladntext"/>
        <w:jc w:val="both"/>
        <w:rPr>
          <w:rFonts w:cs="Arial"/>
        </w:rPr>
      </w:pPr>
      <w:r w:rsidRPr="004E2B72">
        <w:rPr>
          <w:rFonts w:cs="Arial"/>
        </w:rPr>
        <w:t>To znamená, že vyžadují pracovat s</w:t>
      </w:r>
      <w:r w:rsidR="00FE5FBA" w:rsidRPr="004E2B72">
        <w:rPr>
          <w:rFonts w:cs="Arial"/>
        </w:rPr>
        <w:t> </w:t>
      </w:r>
      <w:r w:rsidRPr="004E2B72">
        <w:rPr>
          <w:rFonts w:cs="Arial"/>
        </w:rPr>
        <w:t>náklady</w:t>
      </w:r>
      <w:r w:rsidR="00FE5FBA" w:rsidRPr="004E2B72">
        <w:rPr>
          <w:rFonts w:cs="Arial"/>
        </w:rPr>
        <w:t>,</w:t>
      </w:r>
      <w:r w:rsidRPr="004E2B72">
        <w:rPr>
          <w:rFonts w:cs="Arial"/>
        </w:rPr>
        <w:t xml:space="preserve"> nikoli pouze </w:t>
      </w:r>
      <w:r w:rsidR="004A52A9" w:rsidRPr="004E2B72">
        <w:rPr>
          <w:rFonts w:cs="Arial"/>
        </w:rPr>
        <w:t>s</w:t>
      </w:r>
      <w:r w:rsidR="00FE5FBA" w:rsidRPr="004E2B72">
        <w:rPr>
          <w:rFonts w:cs="Arial"/>
        </w:rPr>
        <w:t> </w:t>
      </w:r>
      <w:r w:rsidRPr="004E2B72">
        <w:rPr>
          <w:rFonts w:cs="Arial"/>
        </w:rPr>
        <w:t>výdaji</w:t>
      </w:r>
      <w:r w:rsidR="00FE5FBA" w:rsidRPr="004E2B72">
        <w:rPr>
          <w:rFonts w:cs="Arial"/>
        </w:rPr>
        <w:t>,</w:t>
      </w:r>
      <w:r w:rsidR="00155D4D" w:rsidRPr="004E2B72">
        <w:rPr>
          <w:rFonts w:cs="Arial"/>
        </w:rPr>
        <w:t xml:space="preserve"> a s úplnými náklady</w:t>
      </w:r>
      <w:r w:rsidR="00FE5FBA" w:rsidRPr="004E2B72">
        <w:rPr>
          <w:rFonts w:cs="Arial"/>
        </w:rPr>
        <w:t>,</w:t>
      </w:r>
      <w:r w:rsidR="00155D4D" w:rsidRPr="004E2B72">
        <w:rPr>
          <w:rFonts w:cs="Arial"/>
        </w:rPr>
        <w:t xml:space="preserve"> nikoli například pouze </w:t>
      </w:r>
      <w:r w:rsidR="00FE5FBA" w:rsidRPr="004E2B72">
        <w:rPr>
          <w:rFonts w:cs="Arial"/>
        </w:rPr>
        <w:t xml:space="preserve">s </w:t>
      </w:r>
      <w:r w:rsidR="000D2C91" w:rsidRPr="004E2B72">
        <w:rPr>
          <w:rFonts w:cs="Arial"/>
        </w:rPr>
        <w:t>přímými</w:t>
      </w:r>
      <w:r w:rsidR="00155D4D" w:rsidRPr="004E2B72">
        <w:rPr>
          <w:rFonts w:cs="Arial"/>
        </w:rPr>
        <w:t>.</w:t>
      </w:r>
      <w:r w:rsidR="007F7162" w:rsidRPr="004E2B72">
        <w:rPr>
          <w:rFonts w:cs="Arial"/>
        </w:rPr>
        <w:t xml:space="preserve"> Teprve pak lze hovořit o uplatnění metodiky TCO.</w:t>
      </w:r>
      <w:r w:rsidR="00505788" w:rsidRPr="004E2B72">
        <w:rPr>
          <w:rFonts w:cs="Arial"/>
        </w:rPr>
        <w:t xml:space="preserve"> </w:t>
      </w:r>
      <w:r w:rsidR="00155D4D" w:rsidRPr="004E2B72">
        <w:rPr>
          <w:rFonts w:cs="Arial"/>
        </w:rPr>
        <w:t>Proto je povinností zpracovatele žádosti se zamyslet na</w:t>
      </w:r>
      <w:r w:rsidR="00BB42D5" w:rsidRPr="004E2B72">
        <w:rPr>
          <w:rFonts w:cs="Arial"/>
        </w:rPr>
        <w:t>d</w:t>
      </w:r>
      <w:r w:rsidR="00155D4D" w:rsidRPr="004E2B72">
        <w:rPr>
          <w:rFonts w:cs="Arial"/>
        </w:rPr>
        <w:t xml:space="preserve"> celým životním cyklem navrhovaného řešení a naplánovat interní i externí, přímé a pokud možno i nepřímé náklady spojené s projektem ve všech </w:t>
      </w:r>
      <w:r w:rsidR="00505788" w:rsidRPr="004E2B72">
        <w:rPr>
          <w:rFonts w:cs="Arial"/>
        </w:rPr>
        <w:t xml:space="preserve">po zjednodušení požadovaných </w:t>
      </w:r>
      <w:r w:rsidR="00155D4D" w:rsidRPr="004E2B72">
        <w:rPr>
          <w:rFonts w:cs="Arial"/>
        </w:rPr>
        <w:t xml:space="preserve">nákladových kategoriích, jež s jistou pravděpodobností mohou nastat, </w:t>
      </w:r>
      <w:r w:rsidR="007F7162" w:rsidRPr="004E2B72">
        <w:rPr>
          <w:rFonts w:cs="Arial"/>
        </w:rPr>
        <w:t xml:space="preserve">ať již </w:t>
      </w:r>
      <w:r w:rsidR="00155D4D" w:rsidRPr="004E2B72">
        <w:rPr>
          <w:rFonts w:cs="Arial"/>
        </w:rPr>
        <w:t>jsou plánované, očekávané nebo alespoň předvídatelné</w:t>
      </w:r>
      <w:r w:rsidR="00FE5FBA" w:rsidRPr="004E2B72">
        <w:rPr>
          <w:rFonts w:cs="Arial"/>
        </w:rPr>
        <w:t>.</w:t>
      </w:r>
      <w:r w:rsidR="00155D4D" w:rsidRPr="004E2B72">
        <w:rPr>
          <w:rFonts w:cs="Arial"/>
        </w:rPr>
        <w:t xml:space="preserve"> </w:t>
      </w:r>
    </w:p>
    <w:p w14:paraId="5AEC16C0" w14:textId="4A51E6A0" w:rsidR="00BB42D5" w:rsidRPr="004E2B72" w:rsidRDefault="00BB42D5" w:rsidP="00073E78">
      <w:pPr>
        <w:tabs>
          <w:tab w:val="clear" w:pos="284"/>
          <w:tab w:val="clear" w:pos="567"/>
          <w:tab w:val="clear" w:pos="851"/>
          <w:tab w:val="clear" w:pos="1134"/>
          <w:tab w:val="clear" w:pos="1418"/>
          <w:tab w:val="clear" w:pos="9072"/>
        </w:tabs>
        <w:spacing w:after="0"/>
        <w:jc w:val="both"/>
        <w:rPr>
          <w:rFonts w:cs="Arial"/>
        </w:rPr>
      </w:pPr>
      <w:r w:rsidRPr="004E2B72">
        <w:rPr>
          <w:rFonts w:cs="Arial"/>
        </w:rPr>
        <w:t xml:space="preserve">Na rozdíl od odhadu externích výdajů pro posouzení relevance projektu pro stanovisko OHA, zde se neuvažuje rozdíl výdajů, ale plánovaná absolutní výše finančně vyjádřené spotřeby všech zdrojů úřadu (personálních, materiálních, majetkových a dalších) za </w:t>
      </w:r>
      <w:r w:rsidR="00505788" w:rsidRPr="004E2B72">
        <w:rPr>
          <w:rFonts w:cs="Arial"/>
        </w:rPr>
        <w:t xml:space="preserve">celé období </w:t>
      </w:r>
      <w:r w:rsidR="00335BCA">
        <w:rPr>
          <w:rFonts w:cs="Arial"/>
        </w:rPr>
        <w:t xml:space="preserve">do zahájení příprav projektu či záměru </w:t>
      </w:r>
      <w:r w:rsidR="00FA7CE8" w:rsidRPr="004E2B72">
        <w:rPr>
          <w:rFonts w:cs="Arial"/>
        </w:rPr>
        <w:t xml:space="preserve">za </w:t>
      </w:r>
      <w:r w:rsidR="00335BCA">
        <w:rPr>
          <w:rFonts w:cs="Arial"/>
        </w:rPr>
        <w:t xml:space="preserve">uplynulých </w:t>
      </w:r>
      <w:r w:rsidRPr="004E2B72">
        <w:rPr>
          <w:rFonts w:cs="Arial"/>
        </w:rPr>
        <w:t xml:space="preserve">5 let </w:t>
      </w:r>
      <w:r w:rsidR="00505788" w:rsidRPr="004E2B72">
        <w:rPr>
          <w:rFonts w:cs="Arial"/>
        </w:rPr>
        <w:t>(v odůvodněných případech méně) produktivního užívání ICT služby řešení</w:t>
      </w:r>
      <w:r w:rsidRPr="004E2B72">
        <w:rPr>
          <w:rFonts w:cs="Arial"/>
        </w:rPr>
        <w:t>, a to za všechny nákladové kategorie a komponenty</w:t>
      </w:r>
      <w:r w:rsidR="00505788" w:rsidRPr="004E2B72">
        <w:rPr>
          <w:rFonts w:cs="Arial"/>
        </w:rPr>
        <w:t xml:space="preserve"> dle životního cyklu řešení,</w:t>
      </w:r>
      <w:r w:rsidRPr="004E2B72">
        <w:rPr>
          <w:rFonts w:cs="Arial"/>
        </w:rPr>
        <w:t xml:space="preserve"> i po zjednodušení zahrnuté do modelu TCO pro tento účel, viz výše. U majetku, jehož odpisová doba je kratší 5 let</w:t>
      </w:r>
      <w:r w:rsidR="00505788" w:rsidRPr="004E2B72">
        <w:rPr>
          <w:rFonts w:cs="Arial"/>
        </w:rPr>
        <w:t xml:space="preserve"> a jehož náklady by se v plné míře v daném období uplatnily</w:t>
      </w:r>
      <w:r w:rsidRPr="004E2B72">
        <w:rPr>
          <w:rFonts w:cs="Arial"/>
        </w:rPr>
        <w:t xml:space="preserve">, se namísto odpisů </w:t>
      </w:r>
      <w:r w:rsidR="00505788" w:rsidRPr="004E2B72">
        <w:rPr>
          <w:rFonts w:cs="Arial"/>
        </w:rPr>
        <w:t xml:space="preserve">jako ročních nákladů </w:t>
      </w:r>
      <w:r w:rsidRPr="004E2B72">
        <w:rPr>
          <w:rFonts w:cs="Arial"/>
        </w:rPr>
        <w:t>uvažuje hodnota investice (pořízení a zhodnocení). U majetku s delší odpisovou dobou (budovy), je to alikvótní část odpisů</w:t>
      </w:r>
      <w:r w:rsidR="00505788" w:rsidRPr="004E2B72">
        <w:rPr>
          <w:rFonts w:cs="Arial"/>
        </w:rPr>
        <w:t xml:space="preserve"> za počet let </w:t>
      </w:r>
      <w:r w:rsidR="00575AD6" w:rsidRPr="004E2B72">
        <w:rPr>
          <w:rFonts w:cs="Arial"/>
        </w:rPr>
        <w:t>přípravy a užívání služby</w:t>
      </w:r>
      <w:r w:rsidRPr="004E2B72">
        <w:rPr>
          <w:rFonts w:cs="Arial"/>
        </w:rPr>
        <w:t>.</w:t>
      </w:r>
    </w:p>
    <w:p w14:paraId="2E31AEC0" w14:textId="77777777" w:rsidR="00BB42D5" w:rsidRPr="004E2B72" w:rsidRDefault="00BB42D5" w:rsidP="00073E78">
      <w:pPr>
        <w:tabs>
          <w:tab w:val="clear" w:pos="284"/>
          <w:tab w:val="clear" w:pos="567"/>
          <w:tab w:val="clear" w:pos="851"/>
          <w:tab w:val="clear" w:pos="1134"/>
          <w:tab w:val="clear" w:pos="1418"/>
          <w:tab w:val="clear" w:pos="9072"/>
        </w:tabs>
        <w:spacing w:after="0"/>
        <w:jc w:val="both"/>
        <w:rPr>
          <w:rFonts w:cs="Arial"/>
        </w:rPr>
      </w:pPr>
    </w:p>
    <w:p w14:paraId="1FFC9925" w14:textId="5A282636" w:rsidR="00833610" w:rsidRPr="004E2B72" w:rsidRDefault="00833610" w:rsidP="00073E78">
      <w:pPr>
        <w:pStyle w:val="Zkladntext"/>
        <w:jc w:val="both"/>
        <w:rPr>
          <w:rFonts w:cs="Arial"/>
        </w:rPr>
      </w:pPr>
      <w:r w:rsidRPr="004E2B72">
        <w:rPr>
          <w:rFonts w:cs="Arial"/>
        </w:rPr>
        <w:t>Interní náklady řešení je třeba plánovat nejenom za úřad zpracovatele žádosti, tedy budoucího investora a implementátora řešení</w:t>
      </w:r>
      <w:r w:rsidR="00FE5FBA" w:rsidRPr="004E2B72">
        <w:rPr>
          <w:rFonts w:cs="Arial"/>
        </w:rPr>
        <w:t xml:space="preserve"> – sloupec </w:t>
      </w:r>
      <w:r w:rsidR="00FE5FBA" w:rsidRPr="004E2B72">
        <w:rPr>
          <w:rFonts w:ascii="Cambria Math" w:hAnsi="Cambria Math" w:cs="Cambria Math"/>
        </w:rPr>
        <w:t>①</w:t>
      </w:r>
      <w:r w:rsidRPr="004E2B72">
        <w:rPr>
          <w:rFonts w:cs="Arial"/>
        </w:rPr>
        <w:t>, ale i za všechny ostatní úřady celé VS ČR, jichž se řešení nějak dotkne, které se na něm budou nějak personálně, majetkově nebo materiálově podílet</w:t>
      </w:r>
      <w:r w:rsidR="00FE5FBA" w:rsidRPr="004E2B72">
        <w:rPr>
          <w:rFonts w:cs="Arial"/>
        </w:rPr>
        <w:t xml:space="preserve"> – sloupec </w:t>
      </w:r>
      <w:r w:rsidR="00FE5FBA" w:rsidRPr="004E2B72">
        <w:rPr>
          <w:rFonts w:ascii="Cambria Math" w:hAnsi="Cambria Math" w:cs="Cambria Math"/>
        </w:rPr>
        <w:t>②</w:t>
      </w:r>
      <w:r w:rsidRPr="004E2B72">
        <w:rPr>
          <w:rFonts w:cs="Arial"/>
        </w:rPr>
        <w:t xml:space="preserve">. To platí pro takové úřady, které nebudou mít s projektem (a řešením) spojeny přímé externí výdaje, které by překročily hranice relevance pro podání </w:t>
      </w:r>
      <w:r w:rsidR="00FE5FBA" w:rsidRPr="004E2B72">
        <w:rPr>
          <w:rFonts w:cs="Arial"/>
        </w:rPr>
        <w:t xml:space="preserve">své vlastní samostatné </w:t>
      </w:r>
      <w:r w:rsidRPr="004E2B72">
        <w:rPr>
          <w:rFonts w:cs="Arial"/>
        </w:rPr>
        <w:t>žádosti o stanovisko OHA.</w:t>
      </w:r>
      <w:r w:rsidR="00357B8A" w:rsidRPr="004E2B72">
        <w:rPr>
          <w:rFonts w:cs="Arial"/>
        </w:rPr>
        <w:t xml:space="preserve"> Viz tabulka převzatá přímo ze Žádosti:</w:t>
      </w:r>
    </w:p>
    <w:p w14:paraId="684B8C61" w14:textId="77777777" w:rsidR="00357B8A" w:rsidRPr="004E2B72" w:rsidRDefault="00357B8A" w:rsidP="00073E78">
      <w:pPr>
        <w:jc w:val="both"/>
        <w:rPr>
          <w:rFonts w:cs="Arial"/>
          <w:b/>
        </w:rPr>
      </w:pPr>
      <w:r w:rsidRPr="004E2B72">
        <w:rPr>
          <w:rFonts w:cs="Arial"/>
          <w:b/>
        </w:rPr>
        <w:t xml:space="preserve">Plán předpokládané ekonomické náročnosti projektu založené na metodologii 5 letých celkových nákladů vlastnictví (tzv. total costs of ownership) - účelové členění nákladů projektu </w:t>
      </w:r>
    </w:p>
    <w:tbl>
      <w:tblPr>
        <w:tblStyle w:val="Style1"/>
        <w:tblW w:w="5057" w:type="pct"/>
        <w:tblLayout w:type="fixed"/>
        <w:tblLook w:val="04A0" w:firstRow="1" w:lastRow="0" w:firstColumn="1" w:lastColumn="0" w:noHBand="0" w:noVBand="1"/>
      </w:tblPr>
      <w:tblGrid>
        <w:gridCol w:w="2955"/>
        <w:gridCol w:w="1152"/>
        <w:gridCol w:w="1275"/>
        <w:gridCol w:w="1275"/>
        <w:gridCol w:w="1027"/>
        <w:gridCol w:w="1452"/>
        <w:gridCol w:w="28"/>
      </w:tblGrid>
      <w:tr w:rsidR="0095205C" w:rsidRPr="004E2B72" w14:paraId="1D412D83" w14:textId="77777777" w:rsidTr="00A16C06">
        <w:trPr>
          <w:gridAfter w:val="1"/>
          <w:cnfStyle w:val="100000000000" w:firstRow="1" w:lastRow="0" w:firstColumn="0" w:lastColumn="0" w:oddVBand="0" w:evenVBand="0" w:oddHBand="0" w:evenHBand="0" w:firstRowFirstColumn="0" w:firstRowLastColumn="0" w:lastRowFirstColumn="0" w:lastRowLastColumn="0"/>
          <w:wAfter w:w="28" w:type="dxa"/>
        </w:trPr>
        <w:tc>
          <w:tcPr>
            <w:cnfStyle w:val="001000000000" w:firstRow="0" w:lastRow="0" w:firstColumn="1" w:lastColumn="0" w:oddVBand="0" w:evenVBand="0" w:oddHBand="0" w:evenHBand="0" w:firstRowFirstColumn="0" w:firstRowLastColumn="0" w:lastRowFirstColumn="0" w:lastRowLastColumn="0"/>
            <w:tcW w:w="2956" w:type="dxa"/>
            <w:tcBorders>
              <w:bottom w:val="double" w:sz="4" w:space="0" w:color="auto"/>
              <w:right w:val="double" w:sz="4" w:space="0" w:color="auto"/>
            </w:tcBorders>
          </w:tcPr>
          <w:p w14:paraId="35554778" w14:textId="77777777" w:rsidR="00357B8A" w:rsidRPr="004E2B72" w:rsidRDefault="00357B8A" w:rsidP="00073E78">
            <w:pPr>
              <w:jc w:val="both"/>
              <w:rPr>
                <w:rFonts w:cs="Arial"/>
              </w:rPr>
            </w:pPr>
            <w:r w:rsidRPr="004E2B72">
              <w:rPr>
                <w:rFonts w:cs="Arial"/>
              </w:rPr>
              <w:t>Souhrnná položka modelu TCO (5 let) v tis. Kč</w:t>
            </w:r>
          </w:p>
        </w:tc>
        <w:tc>
          <w:tcPr>
            <w:tcW w:w="1152" w:type="dxa"/>
            <w:tcBorders>
              <w:left w:val="double" w:sz="4" w:space="0" w:color="auto"/>
              <w:bottom w:val="double" w:sz="4" w:space="0" w:color="auto"/>
            </w:tcBorders>
          </w:tcPr>
          <w:p w14:paraId="23A3A574" w14:textId="02F34C1E" w:rsidR="00357B8A" w:rsidRPr="004E2B72" w:rsidRDefault="00FE5FBA" w:rsidP="00073E78">
            <w:pPr>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ascii="Cambria Math" w:hAnsi="Cambria Math" w:cs="Cambria Math"/>
              </w:rPr>
              <w:t>①</w:t>
            </w:r>
            <w:r w:rsidRPr="004E2B72">
              <w:rPr>
                <w:rFonts w:cs="Arial"/>
              </w:rPr>
              <w:t xml:space="preserve"> </w:t>
            </w:r>
            <w:r w:rsidR="00357B8A" w:rsidRPr="004E2B72">
              <w:rPr>
                <w:rFonts w:cs="Arial"/>
              </w:rPr>
              <w:t>Int</w:t>
            </w:r>
            <w:r w:rsidRPr="004E2B72">
              <w:rPr>
                <w:rFonts w:cs="Arial"/>
              </w:rPr>
              <w:t>erní</w:t>
            </w:r>
            <w:r w:rsidR="00357B8A" w:rsidRPr="004E2B72">
              <w:rPr>
                <w:rFonts w:cs="Arial"/>
              </w:rPr>
              <w:t xml:space="preserve"> náklad</w:t>
            </w:r>
            <w:r w:rsidRPr="004E2B72">
              <w:rPr>
                <w:rFonts w:cs="Arial"/>
              </w:rPr>
              <w:t>y</w:t>
            </w:r>
          </w:p>
          <w:p w14:paraId="580F2B55" w14:textId="77777777" w:rsidR="00357B8A" w:rsidRPr="004E2B72" w:rsidRDefault="00357B8A" w:rsidP="00073E78">
            <w:pPr>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cs="Arial"/>
              </w:rPr>
              <w:t xml:space="preserve">úřadu </w:t>
            </w:r>
          </w:p>
        </w:tc>
        <w:tc>
          <w:tcPr>
            <w:tcW w:w="1275" w:type="dxa"/>
            <w:tcBorders>
              <w:bottom w:val="double" w:sz="4" w:space="0" w:color="auto"/>
            </w:tcBorders>
          </w:tcPr>
          <w:p w14:paraId="58FE2DB3" w14:textId="0500701F" w:rsidR="00357B8A" w:rsidRPr="004E2B72" w:rsidRDefault="00FE5FBA" w:rsidP="00073E78">
            <w:pPr>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ascii="Cambria Math" w:hAnsi="Cambria Math" w:cs="Cambria Math"/>
              </w:rPr>
              <w:t>②</w:t>
            </w:r>
            <w:r w:rsidRPr="004E2B72">
              <w:rPr>
                <w:rFonts w:cs="Arial"/>
              </w:rPr>
              <w:t xml:space="preserve"> </w:t>
            </w:r>
            <w:r w:rsidR="0095205C">
              <w:rPr>
                <w:rFonts w:cs="Arial"/>
              </w:rPr>
              <w:t>N</w:t>
            </w:r>
            <w:r w:rsidR="00357B8A" w:rsidRPr="004E2B72">
              <w:rPr>
                <w:rFonts w:cs="Arial"/>
              </w:rPr>
              <w:t>áklady jin</w:t>
            </w:r>
            <w:r w:rsidR="0095205C">
              <w:rPr>
                <w:rFonts w:cs="Arial"/>
              </w:rPr>
              <w:t xml:space="preserve">ého úřadu </w:t>
            </w:r>
            <w:r w:rsidR="00357B8A" w:rsidRPr="004E2B72">
              <w:rPr>
                <w:rFonts w:cs="Arial"/>
              </w:rPr>
              <w:t>VS</w:t>
            </w:r>
          </w:p>
        </w:tc>
        <w:tc>
          <w:tcPr>
            <w:tcW w:w="1275" w:type="dxa"/>
            <w:tcBorders>
              <w:bottom w:val="double" w:sz="4" w:space="0" w:color="auto"/>
              <w:right w:val="double" w:sz="4" w:space="0" w:color="auto"/>
            </w:tcBorders>
          </w:tcPr>
          <w:p w14:paraId="2A2C135B" w14:textId="44A5FE29" w:rsidR="00357B8A" w:rsidRPr="004E2B72" w:rsidRDefault="00FE5FBA" w:rsidP="00073E78">
            <w:pPr>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ascii="Cambria Math" w:hAnsi="Cambria Math" w:cs="Cambria Math"/>
              </w:rPr>
              <w:t>③</w:t>
            </w:r>
            <w:r w:rsidRPr="004E2B72">
              <w:rPr>
                <w:rFonts w:cs="Arial"/>
              </w:rPr>
              <w:t xml:space="preserve"> </w:t>
            </w:r>
            <w:r w:rsidR="0095205C">
              <w:rPr>
                <w:rFonts w:cs="Arial"/>
              </w:rPr>
              <w:t>Náklady úřadu na e</w:t>
            </w:r>
            <w:r w:rsidR="00357B8A" w:rsidRPr="004E2B72">
              <w:rPr>
                <w:rFonts w:cs="Arial"/>
              </w:rPr>
              <w:t xml:space="preserve">xterní </w:t>
            </w:r>
            <w:r w:rsidR="0095205C">
              <w:rPr>
                <w:rFonts w:cs="Arial"/>
              </w:rPr>
              <w:t>služby</w:t>
            </w:r>
          </w:p>
        </w:tc>
        <w:tc>
          <w:tcPr>
            <w:tcW w:w="1027" w:type="dxa"/>
            <w:tcBorders>
              <w:left w:val="double" w:sz="4" w:space="0" w:color="auto"/>
              <w:bottom w:val="double" w:sz="4" w:space="0" w:color="auto"/>
              <w:right w:val="double" w:sz="4" w:space="0" w:color="auto"/>
            </w:tcBorders>
          </w:tcPr>
          <w:p w14:paraId="77EF500A" w14:textId="1FCAA856" w:rsidR="00357B8A" w:rsidRPr="004E2B72" w:rsidRDefault="00FE5FBA" w:rsidP="00073E78">
            <w:pPr>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ascii="Cambria Math" w:hAnsi="Cambria Math" w:cs="Cambria Math"/>
              </w:rPr>
              <w:t>④</w:t>
            </w:r>
            <w:r w:rsidRPr="004E2B72">
              <w:rPr>
                <w:rFonts w:cs="Arial"/>
              </w:rPr>
              <w:t xml:space="preserve"> </w:t>
            </w:r>
            <w:r w:rsidR="00357B8A" w:rsidRPr="004E2B72">
              <w:rPr>
                <w:rFonts w:cs="Arial"/>
              </w:rPr>
              <w:t>Náklady celkem</w:t>
            </w:r>
          </w:p>
        </w:tc>
        <w:tc>
          <w:tcPr>
            <w:tcW w:w="1452" w:type="dxa"/>
            <w:tcBorders>
              <w:left w:val="double" w:sz="4" w:space="0" w:color="auto"/>
              <w:bottom w:val="double" w:sz="4" w:space="0" w:color="auto"/>
            </w:tcBorders>
          </w:tcPr>
          <w:p w14:paraId="32DE8280" w14:textId="77777777" w:rsidR="00357B8A" w:rsidRPr="004E2B72" w:rsidRDefault="00357B8A" w:rsidP="00073E78">
            <w:pPr>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cs="Arial"/>
              </w:rPr>
              <w:t>Vysvětlení k položce TCO</w:t>
            </w:r>
          </w:p>
        </w:tc>
      </w:tr>
      <w:tr w:rsidR="0095205C" w:rsidRPr="004E2B72" w14:paraId="3D0E6225" w14:textId="77777777" w:rsidTr="00A16C06">
        <w:tc>
          <w:tcPr>
            <w:cnfStyle w:val="001000000000" w:firstRow="0" w:lastRow="0" w:firstColumn="1" w:lastColumn="0" w:oddVBand="0" w:evenVBand="0" w:oddHBand="0" w:evenHBand="0" w:firstRowFirstColumn="0" w:firstRowLastColumn="0" w:lastRowFirstColumn="0" w:lastRowLastColumn="0"/>
            <w:tcW w:w="9165" w:type="dxa"/>
            <w:gridSpan w:val="7"/>
            <w:tcBorders>
              <w:top w:val="double" w:sz="4" w:space="0" w:color="auto"/>
            </w:tcBorders>
            <w:shd w:val="clear" w:color="auto" w:fill="D9D9D9" w:themeFill="background1" w:themeFillShade="D9"/>
          </w:tcPr>
          <w:p w14:paraId="5B8FF748" w14:textId="05CB77FC" w:rsidR="0095205C" w:rsidRPr="004E2B72" w:rsidRDefault="0095205C" w:rsidP="00073E78">
            <w:pPr>
              <w:jc w:val="both"/>
              <w:rPr>
                <w:rFonts w:cs="Arial"/>
              </w:rPr>
            </w:pPr>
            <w:r w:rsidRPr="008C4A1B">
              <w:rPr>
                <w:rFonts w:cs="Arial"/>
              </w:rPr>
              <w:t>PLÁNOVÁNÍ A PŘÍPRAVA (včetně závěrečného návrhu realizace)</w:t>
            </w:r>
          </w:p>
        </w:tc>
      </w:tr>
      <w:tr w:rsidR="00A16C06" w:rsidRPr="004E2B72" w14:paraId="01D64F68" w14:textId="77777777" w:rsidTr="00A16C06">
        <w:trPr>
          <w:gridAfter w:val="1"/>
          <w:wAfter w:w="28" w:type="dxa"/>
        </w:trPr>
        <w:tc>
          <w:tcPr>
            <w:cnfStyle w:val="001000000000" w:firstRow="0" w:lastRow="0" w:firstColumn="1" w:lastColumn="0" w:oddVBand="0" w:evenVBand="0" w:oddHBand="0" w:evenHBand="0" w:firstRowFirstColumn="0" w:firstRowLastColumn="0" w:lastRowFirstColumn="0" w:lastRowLastColumn="0"/>
            <w:tcW w:w="2956" w:type="dxa"/>
            <w:tcBorders>
              <w:top w:val="double" w:sz="4" w:space="0" w:color="auto"/>
              <w:right w:val="double" w:sz="4" w:space="0" w:color="auto"/>
            </w:tcBorders>
            <w:shd w:val="clear" w:color="auto" w:fill="D9D9D9" w:themeFill="background1" w:themeFillShade="D9"/>
          </w:tcPr>
          <w:p w14:paraId="687BB93A" w14:textId="1CF8FE47" w:rsidR="00357B8A" w:rsidRPr="004E2B72" w:rsidRDefault="00357B8A" w:rsidP="00640794">
            <w:pPr>
              <w:rPr>
                <w:rFonts w:cs="Arial"/>
                <w:b w:val="0"/>
              </w:rPr>
            </w:pPr>
            <w:r w:rsidRPr="004E2B72">
              <w:rPr>
                <w:rFonts w:cs="Arial"/>
              </w:rPr>
              <w:t xml:space="preserve">A. </w:t>
            </w:r>
            <w:r w:rsidR="00FA7CE8" w:rsidRPr="004E2B72">
              <w:rPr>
                <w:rFonts w:cs="Arial"/>
              </w:rPr>
              <w:t xml:space="preserve">Plánování, </w:t>
            </w:r>
            <w:r w:rsidRPr="004E2B72">
              <w:rPr>
                <w:rFonts w:cs="Arial"/>
              </w:rPr>
              <w:t>analýzy, zadání, výběr řešení a dodavatele</w:t>
            </w:r>
          </w:p>
        </w:tc>
        <w:tc>
          <w:tcPr>
            <w:tcW w:w="1152" w:type="dxa"/>
            <w:tcBorders>
              <w:top w:val="double" w:sz="4" w:space="0" w:color="auto"/>
              <w:left w:val="double" w:sz="4" w:space="0" w:color="auto"/>
            </w:tcBorders>
          </w:tcPr>
          <w:p w14:paraId="6D7DE093"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Borders>
              <w:top w:val="double" w:sz="4" w:space="0" w:color="auto"/>
            </w:tcBorders>
          </w:tcPr>
          <w:p w14:paraId="111D66EF"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Borders>
              <w:top w:val="double" w:sz="4" w:space="0" w:color="auto"/>
              <w:right w:val="double" w:sz="4" w:space="0" w:color="auto"/>
            </w:tcBorders>
          </w:tcPr>
          <w:p w14:paraId="3002984C"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027" w:type="dxa"/>
            <w:tcBorders>
              <w:top w:val="double" w:sz="4" w:space="0" w:color="auto"/>
              <w:left w:val="double" w:sz="4" w:space="0" w:color="auto"/>
              <w:right w:val="double" w:sz="4" w:space="0" w:color="auto"/>
            </w:tcBorders>
          </w:tcPr>
          <w:p w14:paraId="6E995B4C"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452" w:type="dxa"/>
            <w:tcBorders>
              <w:top w:val="double" w:sz="4" w:space="0" w:color="auto"/>
              <w:left w:val="double" w:sz="4" w:space="0" w:color="auto"/>
            </w:tcBorders>
          </w:tcPr>
          <w:p w14:paraId="0C505B96"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r>
      <w:tr w:rsidR="00640794" w:rsidRPr="004E2B72" w14:paraId="2DCBDB20" w14:textId="77777777" w:rsidTr="00A16C06">
        <w:tc>
          <w:tcPr>
            <w:cnfStyle w:val="001000000000" w:firstRow="0" w:lastRow="0" w:firstColumn="1" w:lastColumn="0" w:oddVBand="0" w:evenVBand="0" w:oddHBand="0" w:evenHBand="0" w:firstRowFirstColumn="0" w:firstRowLastColumn="0" w:lastRowFirstColumn="0" w:lastRowLastColumn="0"/>
            <w:tcW w:w="9165" w:type="dxa"/>
            <w:gridSpan w:val="7"/>
            <w:shd w:val="clear" w:color="auto" w:fill="D9D9D9" w:themeFill="background1" w:themeFillShade="D9"/>
          </w:tcPr>
          <w:p w14:paraId="50CB997B" w14:textId="468BD551" w:rsidR="00640794" w:rsidRPr="004E2B72" w:rsidRDefault="00640794" w:rsidP="00073E78">
            <w:pPr>
              <w:jc w:val="both"/>
              <w:rPr>
                <w:rFonts w:cs="Arial"/>
              </w:rPr>
            </w:pPr>
            <w:r>
              <w:rPr>
                <w:rFonts w:cs="Arial"/>
              </w:rPr>
              <w:t>R</w:t>
            </w:r>
            <w:r w:rsidR="0095205C">
              <w:rPr>
                <w:rFonts w:cs="Arial"/>
              </w:rPr>
              <w:t>EALIZACE (</w:t>
            </w:r>
            <w:r>
              <w:rPr>
                <w:rFonts w:cs="Arial"/>
              </w:rPr>
              <w:t>projektu</w:t>
            </w:r>
            <w:r w:rsidR="0095205C">
              <w:rPr>
                <w:rFonts w:cs="Arial"/>
              </w:rPr>
              <w:t>)</w:t>
            </w:r>
          </w:p>
        </w:tc>
      </w:tr>
      <w:tr w:rsidR="0095205C" w:rsidRPr="004E2B72" w14:paraId="4F576B03" w14:textId="77777777" w:rsidTr="00A16C06">
        <w:trPr>
          <w:gridAfter w:val="1"/>
          <w:wAfter w:w="28" w:type="dxa"/>
        </w:trPr>
        <w:tc>
          <w:tcPr>
            <w:cnfStyle w:val="001000000000" w:firstRow="0" w:lastRow="0" w:firstColumn="1" w:lastColumn="0" w:oddVBand="0" w:evenVBand="0" w:oddHBand="0" w:evenHBand="0" w:firstRowFirstColumn="0" w:firstRowLastColumn="0" w:lastRowFirstColumn="0" w:lastRowLastColumn="0"/>
            <w:tcW w:w="2956" w:type="dxa"/>
            <w:tcBorders>
              <w:right w:val="double" w:sz="4" w:space="0" w:color="auto"/>
            </w:tcBorders>
            <w:shd w:val="clear" w:color="auto" w:fill="D9D9D9" w:themeFill="background1" w:themeFillShade="D9"/>
          </w:tcPr>
          <w:p w14:paraId="15B0E7F4" w14:textId="14DF09D0" w:rsidR="00357B8A" w:rsidRPr="004E2B72" w:rsidRDefault="00357B8A" w:rsidP="00640794">
            <w:pPr>
              <w:rPr>
                <w:rFonts w:cs="Arial"/>
                <w:b w:val="0"/>
              </w:rPr>
            </w:pPr>
            <w:r w:rsidRPr="004E2B72">
              <w:rPr>
                <w:rFonts w:cs="Arial"/>
              </w:rPr>
              <w:t xml:space="preserve">B. </w:t>
            </w:r>
            <w:r w:rsidR="00FA7CE8" w:rsidRPr="004E2B72">
              <w:rPr>
                <w:rFonts w:cs="Arial"/>
              </w:rPr>
              <w:t xml:space="preserve">Pořízení </w:t>
            </w:r>
            <w:r w:rsidRPr="004E2B72">
              <w:rPr>
                <w:rFonts w:cs="Arial"/>
              </w:rPr>
              <w:t>SW a HW pro projekt</w:t>
            </w:r>
          </w:p>
          <w:p w14:paraId="3EBF44B3" w14:textId="05B4428B" w:rsidR="00357B8A" w:rsidRPr="004E2B72" w:rsidRDefault="00357B8A" w:rsidP="00640794">
            <w:pPr>
              <w:rPr>
                <w:rFonts w:cs="Arial"/>
                <w:b w:val="0"/>
              </w:rPr>
            </w:pPr>
            <w:r w:rsidRPr="004E2B72">
              <w:rPr>
                <w:rFonts w:cs="Arial"/>
              </w:rPr>
              <w:t xml:space="preserve">(ne v případě </w:t>
            </w:r>
            <w:r w:rsidR="00FA7CE8" w:rsidRPr="004E2B72">
              <w:rPr>
                <w:rFonts w:cs="Arial"/>
              </w:rPr>
              <w:t>Cloud</w:t>
            </w:r>
            <w:r w:rsidRPr="004E2B72">
              <w:rPr>
                <w:rFonts w:cs="Arial"/>
              </w:rPr>
              <w:t>)</w:t>
            </w:r>
          </w:p>
        </w:tc>
        <w:tc>
          <w:tcPr>
            <w:tcW w:w="1152" w:type="dxa"/>
            <w:tcBorders>
              <w:left w:val="double" w:sz="4" w:space="0" w:color="auto"/>
            </w:tcBorders>
          </w:tcPr>
          <w:p w14:paraId="4ABB5554"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0FC54A3D"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Borders>
              <w:right w:val="double" w:sz="4" w:space="0" w:color="auto"/>
            </w:tcBorders>
          </w:tcPr>
          <w:p w14:paraId="1EBDCE05"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027" w:type="dxa"/>
            <w:tcBorders>
              <w:left w:val="double" w:sz="4" w:space="0" w:color="auto"/>
              <w:right w:val="double" w:sz="4" w:space="0" w:color="auto"/>
            </w:tcBorders>
          </w:tcPr>
          <w:p w14:paraId="729550B5"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452" w:type="dxa"/>
            <w:tcBorders>
              <w:left w:val="double" w:sz="4" w:space="0" w:color="auto"/>
            </w:tcBorders>
          </w:tcPr>
          <w:p w14:paraId="6546271D"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r>
      <w:tr w:rsidR="0095205C" w:rsidRPr="004E2B72" w14:paraId="2D56D02E" w14:textId="77777777" w:rsidTr="00A16C06">
        <w:trPr>
          <w:gridAfter w:val="1"/>
          <w:wAfter w:w="28" w:type="dxa"/>
        </w:trPr>
        <w:tc>
          <w:tcPr>
            <w:cnfStyle w:val="001000000000" w:firstRow="0" w:lastRow="0" w:firstColumn="1" w:lastColumn="0" w:oddVBand="0" w:evenVBand="0" w:oddHBand="0" w:evenHBand="0" w:firstRowFirstColumn="0" w:firstRowLastColumn="0" w:lastRowFirstColumn="0" w:lastRowLastColumn="0"/>
            <w:tcW w:w="2956" w:type="dxa"/>
            <w:tcBorders>
              <w:right w:val="double" w:sz="4" w:space="0" w:color="auto"/>
            </w:tcBorders>
            <w:shd w:val="clear" w:color="auto" w:fill="D9D9D9" w:themeFill="background1" w:themeFillShade="D9"/>
          </w:tcPr>
          <w:p w14:paraId="67B12602" w14:textId="78646A42" w:rsidR="00357B8A" w:rsidRPr="004E2B72" w:rsidRDefault="00357B8A" w:rsidP="00640794">
            <w:pPr>
              <w:rPr>
                <w:rFonts w:cs="Arial"/>
                <w:b w:val="0"/>
                <w:bCs w:val="0"/>
              </w:rPr>
            </w:pPr>
            <w:r w:rsidRPr="004E2B72">
              <w:rPr>
                <w:rFonts w:cs="Arial"/>
              </w:rPr>
              <w:t xml:space="preserve">C. </w:t>
            </w:r>
            <w:r w:rsidR="00FA7CE8" w:rsidRPr="004E2B72">
              <w:rPr>
                <w:rFonts w:cs="Arial"/>
              </w:rPr>
              <w:t>V</w:t>
            </w:r>
            <w:r w:rsidRPr="004E2B72">
              <w:rPr>
                <w:rFonts w:cs="Arial"/>
              </w:rPr>
              <w:t>ývoj, implementace</w:t>
            </w:r>
            <w:r w:rsidR="00FA7CE8" w:rsidRPr="004E2B72">
              <w:rPr>
                <w:rFonts w:cs="Arial"/>
              </w:rPr>
              <w:t>/integr.</w:t>
            </w:r>
            <w:r w:rsidRPr="004E2B72">
              <w:rPr>
                <w:rFonts w:cs="Arial"/>
              </w:rPr>
              <w:t xml:space="preserve"> a zkušební provoz </w:t>
            </w:r>
          </w:p>
        </w:tc>
        <w:tc>
          <w:tcPr>
            <w:tcW w:w="1152" w:type="dxa"/>
            <w:tcBorders>
              <w:left w:val="double" w:sz="4" w:space="0" w:color="auto"/>
            </w:tcBorders>
          </w:tcPr>
          <w:p w14:paraId="120C055A"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72361360"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Borders>
              <w:right w:val="double" w:sz="4" w:space="0" w:color="auto"/>
            </w:tcBorders>
          </w:tcPr>
          <w:p w14:paraId="1F92473B"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027" w:type="dxa"/>
            <w:tcBorders>
              <w:left w:val="double" w:sz="4" w:space="0" w:color="auto"/>
              <w:right w:val="double" w:sz="4" w:space="0" w:color="auto"/>
            </w:tcBorders>
          </w:tcPr>
          <w:p w14:paraId="49C377ED"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452" w:type="dxa"/>
            <w:tcBorders>
              <w:left w:val="double" w:sz="4" w:space="0" w:color="auto"/>
            </w:tcBorders>
          </w:tcPr>
          <w:p w14:paraId="6ADCA29A"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r>
      <w:tr w:rsidR="00640794" w:rsidRPr="004E2B72" w14:paraId="45D9D189" w14:textId="77777777" w:rsidTr="00A16C06">
        <w:tc>
          <w:tcPr>
            <w:cnfStyle w:val="001000000000" w:firstRow="0" w:lastRow="0" w:firstColumn="1" w:lastColumn="0" w:oddVBand="0" w:evenVBand="0" w:oddHBand="0" w:evenHBand="0" w:firstRowFirstColumn="0" w:firstRowLastColumn="0" w:lastRowFirstColumn="0" w:lastRowLastColumn="0"/>
            <w:tcW w:w="9165" w:type="dxa"/>
            <w:gridSpan w:val="7"/>
            <w:shd w:val="clear" w:color="auto" w:fill="D9D9D9" w:themeFill="background1" w:themeFillShade="D9"/>
          </w:tcPr>
          <w:p w14:paraId="4A33F20E" w14:textId="3992CB8B" w:rsidR="00640794" w:rsidRPr="004E2B72" w:rsidRDefault="0095205C" w:rsidP="00073E78">
            <w:pPr>
              <w:jc w:val="both"/>
              <w:rPr>
                <w:rFonts w:cs="Arial"/>
              </w:rPr>
            </w:pPr>
            <w:r w:rsidRPr="008C4A1B">
              <w:rPr>
                <w:rFonts w:cs="Arial"/>
              </w:rPr>
              <w:t>PRODUKČNÍ PROVOZ (včetně řízených změn)</w:t>
            </w:r>
          </w:p>
        </w:tc>
      </w:tr>
      <w:tr w:rsidR="0095205C" w:rsidRPr="004E2B72" w14:paraId="2AF4821B" w14:textId="77777777" w:rsidTr="00A16C06">
        <w:trPr>
          <w:gridAfter w:val="1"/>
          <w:wAfter w:w="28" w:type="dxa"/>
        </w:trPr>
        <w:tc>
          <w:tcPr>
            <w:cnfStyle w:val="001000000000" w:firstRow="0" w:lastRow="0" w:firstColumn="1" w:lastColumn="0" w:oddVBand="0" w:evenVBand="0" w:oddHBand="0" w:evenHBand="0" w:firstRowFirstColumn="0" w:firstRowLastColumn="0" w:lastRowFirstColumn="0" w:lastRowLastColumn="0"/>
            <w:tcW w:w="2956" w:type="dxa"/>
            <w:tcBorders>
              <w:right w:val="double" w:sz="4" w:space="0" w:color="auto"/>
            </w:tcBorders>
            <w:shd w:val="clear" w:color="auto" w:fill="D9D9D9" w:themeFill="background1" w:themeFillShade="D9"/>
          </w:tcPr>
          <w:p w14:paraId="767D2D47" w14:textId="71EDE612" w:rsidR="00357B8A" w:rsidRPr="008B7D82" w:rsidRDefault="00357B8A" w:rsidP="00640794">
            <w:pPr>
              <w:rPr>
                <w:rFonts w:cs="Arial"/>
              </w:rPr>
            </w:pPr>
            <w:r w:rsidRPr="004E2B72">
              <w:rPr>
                <w:rFonts w:cs="Arial"/>
              </w:rPr>
              <w:t xml:space="preserve">D. Provoz a podpora řešení </w:t>
            </w:r>
            <w:r w:rsidR="00FA7CE8" w:rsidRPr="004E2B72">
              <w:rPr>
                <w:rFonts w:cs="Arial"/>
              </w:rPr>
              <w:br/>
              <w:t>(</w:t>
            </w:r>
            <w:r w:rsidRPr="004E2B72">
              <w:rPr>
                <w:rFonts w:cs="Arial"/>
              </w:rPr>
              <w:t xml:space="preserve">ne v případě </w:t>
            </w:r>
            <w:r w:rsidR="00FA7CE8" w:rsidRPr="004E2B72">
              <w:rPr>
                <w:rFonts w:cs="Arial"/>
              </w:rPr>
              <w:t>Cloud</w:t>
            </w:r>
            <w:r w:rsidRPr="004E2B72">
              <w:rPr>
                <w:rFonts w:cs="Arial"/>
              </w:rPr>
              <w:t>)</w:t>
            </w:r>
          </w:p>
        </w:tc>
        <w:tc>
          <w:tcPr>
            <w:tcW w:w="1152" w:type="dxa"/>
            <w:tcBorders>
              <w:left w:val="double" w:sz="4" w:space="0" w:color="auto"/>
            </w:tcBorders>
          </w:tcPr>
          <w:p w14:paraId="3B3F0251"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7B48AB46"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Borders>
              <w:right w:val="double" w:sz="4" w:space="0" w:color="auto"/>
            </w:tcBorders>
          </w:tcPr>
          <w:p w14:paraId="2DDF9212"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027" w:type="dxa"/>
            <w:tcBorders>
              <w:left w:val="double" w:sz="4" w:space="0" w:color="auto"/>
              <w:right w:val="double" w:sz="4" w:space="0" w:color="auto"/>
            </w:tcBorders>
          </w:tcPr>
          <w:p w14:paraId="74F376E8"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452" w:type="dxa"/>
            <w:tcBorders>
              <w:left w:val="double" w:sz="4" w:space="0" w:color="auto"/>
            </w:tcBorders>
          </w:tcPr>
          <w:p w14:paraId="3B258F3A"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r>
      <w:tr w:rsidR="0095205C" w:rsidRPr="004E2B72" w14:paraId="3E095360" w14:textId="77777777" w:rsidTr="00A16C06">
        <w:trPr>
          <w:gridAfter w:val="1"/>
          <w:wAfter w:w="28" w:type="dxa"/>
        </w:trPr>
        <w:tc>
          <w:tcPr>
            <w:cnfStyle w:val="001000000000" w:firstRow="0" w:lastRow="0" w:firstColumn="1" w:lastColumn="0" w:oddVBand="0" w:evenVBand="0" w:oddHBand="0" w:evenHBand="0" w:firstRowFirstColumn="0" w:firstRowLastColumn="0" w:lastRowFirstColumn="0" w:lastRowLastColumn="0"/>
            <w:tcW w:w="2956" w:type="dxa"/>
            <w:tcBorders>
              <w:right w:val="double" w:sz="4" w:space="0" w:color="auto"/>
            </w:tcBorders>
            <w:shd w:val="clear" w:color="auto" w:fill="D9D9D9" w:themeFill="background1" w:themeFillShade="D9"/>
          </w:tcPr>
          <w:p w14:paraId="01301E14" w14:textId="2E5E8078" w:rsidR="00357B8A" w:rsidRPr="004E2B72" w:rsidRDefault="00357B8A" w:rsidP="00640794">
            <w:pPr>
              <w:rPr>
                <w:rFonts w:cs="Arial"/>
                <w:b w:val="0"/>
                <w:bCs w:val="0"/>
              </w:rPr>
            </w:pPr>
            <w:r w:rsidRPr="004E2B72">
              <w:rPr>
                <w:rFonts w:cs="Arial"/>
              </w:rPr>
              <w:t xml:space="preserve">E. </w:t>
            </w:r>
            <w:r w:rsidR="00FA7CE8" w:rsidRPr="004E2B72">
              <w:rPr>
                <w:rFonts w:cs="Arial"/>
              </w:rPr>
              <w:t>Údržba, opravy a</w:t>
            </w:r>
            <w:r w:rsidRPr="004E2B72">
              <w:rPr>
                <w:rFonts w:cs="Arial"/>
              </w:rPr>
              <w:t xml:space="preserve"> průběžné úpravy (ne v případě </w:t>
            </w:r>
            <w:r w:rsidR="00FA7CE8" w:rsidRPr="004E2B72">
              <w:rPr>
                <w:rFonts w:cs="Arial"/>
              </w:rPr>
              <w:t>Cloud</w:t>
            </w:r>
            <w:r w:rsidRPr="004E2B72">
              <w:rPr>
                <w:rFonts w:cs="Arial"/>
              </w:rPr>
              <w:t>)</w:t>
            </w:r>
          </w:p>
        </w:tc>
        <w:tc>
          <w:tcPr>
            <w:tcW w:w="1152" w:type="dxa"/>
            <w:tcBorders>
              <w:left w:val="double" w:sz="4" w:space="0" w:color="auto"/>
            </w:tcBorders>
          </w:tcPr>
          <w:p w14:paraId="2DFE97B2"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1B0E4482"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Borders>
              <w:right w:val="double" w:sz="4" w:space="0" w:color="auto"/>
            </w:tcBorders>
          </w:tcPr>
          <w:p w14:paraId="0D670117"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027" w:type="dxa"/>
            <w:tcBorders>
              <w:left w:val="double" w:sz="4" w:space="0" w:color="auto"/>
              <w:right w:val="double" w:sz="4" w:space="0" w:color="auto"/>
            </w:tcBorders>
          </w:tcPr>
          <w:p w14:paraId="43A1809F"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452" w:type="dxa"/>
            <w:tcBorders>
              <w:left w:val="double" w:sz="4" w:space="0" w:color="auto"/>
            </w:tcBorders>
          </w:tcPr>
          <w:p w14:paraId="25D02ADE"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r>
      <w:tr w:rsidR="0095205C" w:rsidRPr="004E2B72" w14:paraId="4AFDB144" w14:textId="77777777" w:rsidTr="00A16C06">
        <w:trPr>
          <w:gridAfter w:val="1"/>
          <w:wAfter w:w="28" w:type="dxa"/>
        </w:trPr>
        <w:tc>
          <w:tcPr>
            <w:cnfStyle w:val="001000000000" w:firstRow="0" w:lastRow="0" w:firstColumn="1" w:lastColumn="0" w:oddVBand="0" w:evenVBand="0" w:oddHBand="0" w:evenHBand="0" w:firstRowFirstColumn="0" w:firstRowLastColumn="0" w:lastRowFirstColumn="0" w:lastRowLastColumn="0"/>
            <w:tcW w:w="2956" w:type="dxa"/>
            <w:tcBorders>
              <w:right w:val="double" w:sz="4" w:space="0" w:color="auto"/>
            </w:tcBorders>
            <w:shd w:val="clear" w:color="auto" w:fill="D9D9D9" w:themeFill="background1" w:themeFillShade="D9"/>
          </w:tcPr>
          <w:p w14:paraId="06D063B8" w14:textId="7DE13596" w:rsidR="00357B8A" w:rsidRPr="004E2B72" w:rsidRDefault="00357B8A" w:rsidP="00640794">
            <w:pPr>
              <w:rPr>
                <w:rFonts w:cs="Arial"/>
                <w:b w:val="0"/>
                <w:bCs w:val="0"/>
              </w:rPr>
            </w:pPr>
            <w:r w:rsidRPr="004E2B72">
              <w:rPr>
                <w:rFonts w:cs="Arial"/>
              </w:rPr>
              <w:t>F. Projekty postupné</w:t>
            </w:r>
            <w:r w:rsidR="00FA7CE8" w:rsidRPr="004E2B72">
              <w:rPr>
                <w:rFonts w:cs="Arial"/>
              </w:rPr>
              <w:t>ho</w:t>
            </w:r>
            <w:r w:rsidRPr="004E2B72">
              <w:rPr>
                <w:rFonts w:cs="Arial"/>
              </w:rPr>
              <w:t xml:space="preserve"> zlepšování </w:t>
            </w:r>
            <w:r w:rsidR="00FA7CE8" w:rsidRPr="004E2B72">
              <w:rPr>
                <w:rFonts w:cs="Arial"/>
              </w:rPr>
              <w:t xml:space="preserve">řešení </w:t>
            </w:r>
            <w:r w:rsidRPr="004E2B72">
              <w:rPr>
                <w:rFonts w:cs="Arial"/>
              </w:rPr>
              <w:t>(plánované)</w:t>
            </w:r>
          </w:p>
        </w:tc>
        <w:tc>
          <w:tcPr>
            <w:tcW w:w="1152" w:type="dxa"/>
            <w:tcBorders>
              <w:left w:val="double" w:sz="4" w:space="0" w:color="auto"/>
            </w:tcBorders>
          </w:tcPr>
          <w:p w14:paraId="038E3528"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0199F290"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Borders>
              <w:right w:val="double" w:sz="4" w:space="0" w:color="auto"/>
            </w:tcBorders>
          </w:tcPr>
          <w:p w14:paraId="09FB262E"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027" w:type="dxa"/>
            <w:tcBorders>
              <w:left w:val="double" w:sz="4" w:space="0" w:color="auto"/>
              <w:right w:val="double" w:sz="4" w:space="0" w:color="auto"/>
            </w:tcBorders>
          </w:tcPr>
          <w:p w14:paraId="02F4581B"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452" w:type="dxa"/>
            <w:tcBorders>
              <w:left w:val="double" w:sz="4" w:space="0" w:color="auto"/>
            </w:tcBorders>
          </w:tcPr>
          <w:p w14:paraId="72E4B4EC"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r>
      <w:tr w:rsidR="0095205C" w:rsidRPr="004E2B72" w14:paraId="034C7646" w14:textId="77777777" w:rsidTr="00A16C06">
        <w:trPr>
          <w:gridAfter w:val="1"/>
          <w:wAfter w:w="28" w:type="dxa"/>
        </w:trPr>
        <w:tc>
          <w:tcPr>
            <w:cnfStyle w:val="001000000000" w:firstRow="0" w:lastRow="0" w:firstColumn="1" w:lastColumn="0" w:oddVBand="0" w:evenVBand="0" w:oddHBand="0" w:evenHBand="0" w:firstRowFirstColumn="0" w:firstRowLastColumn="0" w:lastRowFirstColumn="0" w:lastRowLastColumn="0"/>
            <w:tcW w:w="2956" w:type="dxa"/>
            <w:tcBorders>
              <w:bottom w:val="single" w:sz="4" w:space="0" w:color="auto"/>
              <w:right w:val="double" w:sz="4" w:space="0" w:color="auto"/>
            </w:tcBorders>
            <w:shd w:val="clear" w:color="auto" w:fill="D9D9D9" w:themeFill="background1" w:themeFillShade="D9"/>
          </w:tcPr>
          <w:p w14:paraId="018669AE" w14:textId="77777777" w:rsidR="00357B8A" w:rsidRPr="004E2B72" w:rsidRDefault="00357B8A" w:rsidP="00640794">
            <w:pPr>
              <w:rPr>
                <w:rFonts w:cs="Arial"/>
                <w:b w:val="0"/>
                <w:bCs w:val="0"/>
              </w:rPr>
            </w:pPr>
            <w:r w:rsidRPr="004E2B72">
              <w:rPr>
                <w:rFonts w:cs="Arial"/>
              </w:rPr>
              <w:t>G. Projekty upgrade (pokud jsou plánovány)</w:t>
            </w:r>
          </w:p>
        </w:tc>
        <w:tc>
          <w:tcPr>
            <w:tcW w:w="1152" w:type="dxa"/>
            <w:tcBorders>
              <w:left w:val="double" w:sz="4" w:space="0" w:color="auto"/>
              <w:bottom w:val="single" w:sz="4" w:space="0" w:color="auto"/>
            </w:tcBorders>
          </w:tcPr>
          <w:p w14:paraId="1C90E1E0"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Borders>
              <w:bottom w:val="single" w:sz="4" w:space="0" w:color="auto"/>
            </w:tcBorders>
          </w:tcPr>
          <w:p w14:paraId="7D36018C"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Borders>
              <w:bottom w:val="single" w:sz="4" w:space="0" w:color="auto"/>
              <w:right w:val="double" w:sz="4" w:space="0" w:color="auto"/>
            </w:tcBorders>
          </w:tcPr>
          <w:p w14:paraId="1BE665E3"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027" w:type="dxa"/>
            <w:tcBorders>
              <w:left w:val="double" w:sz="4" w:space="0" w:color="auto"/>
              <w:bottom w:val="single" w:sz="4" w:space="0" w:color="auto"/>
              <w:right w:val="double" w:sz="4" w:space="0" w:color="auto"/>
            </w:tcBorders>
          </w:tcPr>
          <w:p w14:paraId="70DF87A9"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452" w:type="dxa"/>
            <w:tcBorders>
              <w:left w:val="double" w:sz="4" w:space="0" w:color="auto"/>
              <w:bottom w:val="single" w:sz="4" w:space="0" w:color="auto"/>
            </w:tcBorders>
          </w:tcPr>
          <w:p w14:paraId="4A644233"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r>
      <w:tr w:rsidR="003B36B1" w:rsidRPr="004E2B72" w14:paraId="35D87B7F" w14:textId="77777777" w:rsidTr="0095205C">
        <w:trPr>
          <w:gridAfter w:val="1"/>
          <w:wAfter w:w="28" w:type="dxa"/>
        </w:trPr>
        <w:tc>
          <w:tcPr>
            <w:cnfStyle w:val="001000000000" w:firstRow="0" w:lastRow="0" w:firstColumn="1" w:lastColumn="0" w:oddVBand="0" w:evenVBand="0" w:oddHBand="0" w:evenHBand="0" w:firstRowFirstColumn="0" w:firstRowLastColumn="0" w:lastRowFirstColumn="0" w:lastRowLastColumn="0"/>
            <w:tcW w:w="2956" w:type="dxa"/>
            <w:tcBorders>
              <w:right w:val="double" w:sz="4" w:space="0" w:color="auto"/>
            </w:tcBorders>
            <w:shd w:val="clear" w:color="auto" w:fill="D9D9D9" w:themeFill="background1" w:themeFillShade="D9"/>
          </w:tcPr>
          <w:p w14:paraId="27620371" w14:textId="77777777" w:rsidR="00357B8A" w:rsidRPr="004E2B72" w:rsidRDefault="00357B8A" w:rsidP="00640794">
            <w:pPr>
              <w:rPr>
                <w:rFonts w:cs="Arial"/>
                <w:b w:val="0"/>
                <w:bCs w:val="0"/>
              </w:rPr>
            </w:pPr>
            <w:r w:rsidRPr="004E2B72">
              <w:rPr>
                <w:rFonts w:cs="Arial"/>
              </w:rPr>
              <w:t>H. Zvýšené náklady užívání řešení (pokud se vyskytnou)</w:t>
            </w:r>
          </w:p>
        </w:tc>
        <w:tc>
          <w:tcPr>
            <w:tcW w:w="1152" w:type="dxa"/>
            <w:tcBorders>
              <w:left w:val="double" w:sz="4" w:space="0" w:color="auto"/>
            </w:tcBorders>
            <w:shd w:val="clear" w:color="auto" w:fill="D9D9D9" w:themeFill="background1" w:themeFillShade="D9"/>
          </w:tcPr>
          <w:p w14:paraId="762ADFBD"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shd w:val="clear" w:color="auto" w:fill="D9D9D9" w:themeFill="background1" w:themeFillShade="D9"/>
          </w:tcPr>
          <w:p w14:paraId="65D656C2"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Borders>
              <w:right w:val="double" w:sz="4" w:space="0" w:color="auto"/>
            </w:tcBorders>
            <w:shd w:val="clear" w:color="auto" w:fill="D9D9D9" w:themeFill="background1" w:themeFillShade="D9"/>
          </w:tcPr>
          <w:p w14:paraId="6ACB4F7A"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027" w:type="dxa"/>
            <w:tcBorders>
              <w:left w:val="double" w:sz="4" w:space="0" w:color="auto"/>
              <w:right w:val="double" w:sz="4" w:space="0" w:color="auto"/>
            </w:tcBorders>
            <w:shd w:val="clear" w:color="auto" w:fill="D9D9D9" w:themeFill="background1" w:themeFillShade="D9"/>
          </w:tcPr>
          <w:p w14:paraId="14B4F6F4" w14:textId="77777777" w:rsidR="00357B8A" w:rsidRPr="004E2B72" w:rsidRDefault="00357B8A" w:rsidP="00073E78">
            <w:pPr>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452" w:type="dxa"/>
            <w:tcBorders>
              <w:left w:val="double" w:sz="4" w:space="0" w:color="auto"/>
            </w:tcBorders>
            <w:shd w:val="clear" w:color="auto" w:fill="D9D9D9" w:themeFill="background1" w:themeFillShade="D9"/>
          </w:tcPr>
          <w:p w14:paraId="7D72BD63" w14:textId="20ACB211" w:rsidR="00357B8A" w:rsidRPr="00C80226" w:rsidRDefault="003E3CA4" w:rsidP="00C80226">
            <w:pPr>
              <w:cnfStyle w:val="000000000000" w:firstRow="0" w:lastRow="0" w:firstColumn="0" w:lastColumn="0" w:oddVBand="0" w:evenVBand="0" w:oddHBand="0" w:evenHBand="0" w:firstRowFirstColumn="0" w:firstRowLastColumn="0" w:lastRowFirstColumn="0" w:lastRowLastColumn="0"/>
              <w:rPr>
                <w:rFonts w:ascii="Arial Narrow" w:hAnsi="Arial Narrow" w:cs="Arial"/>
                <w:bCs/>
              </w:rPr>
            </w:pPr>
            <w:r w:rsidRPr="00C80226">
              <w:rPr>
                <w:rFonts w:ascii="Arial Narrow" w:hAnsi="Arial Narrow" w:cs="Arial"/>
                <w:bCs/>
              </w:rPr>
              <w:t>Nepovinné, uveďte jen, je-li pro projekt významné</w:t>
            </w:r>
          </w:p>
        </w:tc>
      </w:tr>
      <w:tr w:rsidR="0095205C" w:rsidRPr="004E2B72" w14:paraId="43B016D6" w14:textId="77777777" w:rsidTr="00C80226">
        <w:trPr>
          <w:gridAfter w:val="1"/>
          <w:wAfter w:w="28" w:type="dxa"/>
        </w:trPr>
        <w:tc>
          <w:tcPr>
            <w:cnfStyle w:val="001000000000" w:firstRow="0" w:lastRow="0" w:firstColumn="1" w:lastColumn="0" w:oddVBand="0" w:evenVBand="0" w:oddHBand="0" w:evenHBand="0" w:firstRowFirstColumn="0" w:firstRowLastColumn="0" w:lastRowFirstColumn="0" w:lastRowLastColumn="0"/>
            <w:tcW w:w="0" w:type="dxa"/>
            <w:tcBorders>
              <w:right w:val="double" w:sz="4" w:space="0" w:color="auto"/>
            </w:tcBorders>
            <w:shd w:val="clear" w:color="auto" w:fill="D9D9D9" w:themeFill="background1" w:themeFillShade="D9"/>
          </w:tcPr>
          <w:p w14:paraId="3C7A3EAD" w14:textId="10A9A02B" w:rsidR="00640794" w:rsidRPr="004E2B72" w:rsidRDefault="00640794" w:rsidP="002A6BA5">
            <w:pPr>
              <w:rPr>
                <w:rFonts w:cs="Arial"/>
              </w:rPr>
            </w:pPr>
            <w:r w:rsidRPr="004E2B72">
              <w:rPr>
                <w:rFonts w:cs="Arial"/>
              </w:rPr>
              <w:t>X. Řešení jako služba</w:t>
            </w:r>
            <w:r w:rsidRPr="004E2B72">
              <w:rPr>
                <w:rFonts w:cs="Arial"/>
              </w:rPr>
              <w:br/>
              <w:t>(pouze SaaS)</w:t>
            </w:r>
          </w:p>
        </w:tc>
        <w:tc>
          <w:tcPr>
            <w:tcW w:w="0" w:type="dxa"/>
            <w:tcBorders>
              <w:left w:val="double" w:sz="4" w:space="0" w:color="auto"/>
            </w:tcBorders>
            <w:shd w:val="clear" w:color="auto" w:fill="auto"/>
          </w:tcPr>
          <w:p w14:paraId="38C34F3C" w14:textId="77777777" w:rsidR="00640794" w:rsidRPr="004E2B72" w:rsidRDefault="00640794" w:rsidP="00640794">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0" w:type="dxa"/>
            <w:shd w:val="clear" w:color="auto" w:fill="auto"/>
          </w:tcPr>
          <w:p w14:paraId="37C38937" w14:textId="77777777" w:rsidR="00640794" w:rsidRPr="004E2B72" w:rsidRDefault="00640794" w:rsidP="00640794">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Borders>
              <w:right w:val="double" w:sz="4" w:space="0" w:color="auto"/>
            </w:tcBorders>
            <w:shd w:val="clear" w:color="auto" w:fill="auto"/>
          </w:tcPr>
          <w:p w14:paraId="6373C358" w14:textId="77777777" w:rsidR="00640794" w:rsidRPr="004E2B72" w:rsidRDefault="00640794" w:rsidP="00640794">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0" w:type="dxa"/>
            <w:tcBorders>
              <w:left w:val="double" w:sz="4" w:space="0" w:color="auto"/>
              <w:right w:val="double" w:sz="4" w:space="0" w:color="auto"/>
            </w:tcBorders>
            <w:shd w:val="clear" w:color="auto" w:fill="auto"/>
          </w:tcPr>
          <w:p w14:paraId="6B19E1EE" w14:textId="415C3672" w:rsidR="00640794" w:rsidRPr="004E2B72" w:rsidRDefault="00640794" w:rsidP="00640794">
            <w:pPr>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0" w:type="dxa"/>
            <w:tcBorders>
              <w:left w:val="double" w:sz="4" w:space="0" w:color="auto"/>
            </w:tcBorders>
            <w:shd w:val="clear" w:color="auto" w:fill="auto"/>
          </w:tcPr>
          <w:p w14:paraId="5AFD54EE" w14:textId="77777777" w:rsidR="00640794" w:rsidRPr="004E2B72" w:rsidRDefault="00640794" w:rsidP="00640794">
            <w:pPr>
              <w:jc w:val="both"/>
              <w:cnfStyle w:val="000000000000" w:firstRow="0" w:lastRow="0" w:firstColumn="0" w:lastColumn="0" w:oddVBand="0" w:evenVBand="0" w:oddHBand="0" w:evenHBand="0" w:firstRowFirstColumn="0" w:firstRowLastColumn="0" w:lastRowFirstColumn="0" w:lastRowLastColumn="0"/>
              <w:rPr>
                <w:rFonts w:cs="Arial"/>
                <w:b/>
              </w:rPr>
            </w:pPr>
          </w:p>
        </w:tc>
      </w:tr>
      <w:tr w:rsidR="0095205C" w:rsidRPr="004E2B72" w14:paraId="5F26214C" w14:textId="77777777" w:rsidTr="00C80226">
        <w:tc>
          <w:tcPr>
            <w:cnfStyle w:val="001000000000" w:firstRow="0" w:lastRow="0" w:firstColumn="1" w:lastColumn="0" w:oddVBand="0" w:evenVBand="0" w:oddHBand="0" w:evenHBand="0" w:firstRowFirstColumn="0" w:firstRowLastColumn="0" w:lastRowFirstColumn="0" w:lastRowLastColumn="0"/>
            <w:tcW w:w="9165" w:type="dxa"/>
            <w:gridSpan w:val="7"/>
            <w:shd w:val="clear" w:color="auto" w:fill="D9D9D9" w:themeFill="background1" w:themeFillShade="D9"/>
          </w:tcPr>
          <w:p w14:paraId="77D2702B" w14:textId="32F57072" w:rsidR="0095205C" w:rsidRPr="0095205C" w:rsidRDefault="0095205C" w:rsidP="0095205C">
            <w:pPr>
              <w:jc w:val="both"/>
              <w:rPr>
                <w:rFonts w:cs="Arial"/>
              </w:rPr>
            </w:pPr>
            <w:r w:rsidRPr="008C4A1B">
              <w:rPr>
                <w:rFonts w:cs="Arial"/>
              </w:rPr>
              <w:t>VYHODNOCENÍ</w:t>
            </w:r>
          </w:p>
        </w:tc>
      </w:tr>
      <w:tr w:rsidR="0095205C" w:rsidRPr="004E2B72" w14:paraId="1135F73F" w14:textId="77777777" w:rsidTr="0095205C">
        <w:trPr>
          <w:gridAfter w:val="1"/>
          <w:wAfter w:w="28" w:type="dxa"/>
        </w:trPr>
        <w:tc>
          <w:tcPr>
            <w:cnfStyle w:val="001000000000" w:firstRow="0" w:lastRow="0" w:firstColumn="1" w:lastColumn="0" w:oddVBand="0" w:evenVBand="0" w:oddHBand="0" w:evenHBand="0" w:firstRowFirstColumn="0" w:firstRowLastColumn="0" w:lastRowFirstColumn="0" w:lastRowLastColumn="0"/>
            <w:tcW w:w="2956" w:type="dxa"/>
            <w:tcBorders>
              <w:right w:val="double" w:sz="4" w:space="0" w:color="auto"/>
            </w:tcBorders>
            <w:shd w:val="clear" w:color="auto" w:fill="D9D9D9" w:themeFill="background1" w:themeFillShade="D9"/>
          </w:tcPr>
          <w:p w14:paraId="111F743D" w14:textId="6DEB3BE1" w:rsidR="008A04ED" w:rsidRPr="004E2B72" w:rsidRDefault="008A04ED" w:rsidP="008A04ED">
            <w:pPr>
              <w:rPr>
                <w:rFonts w:cs="Arial"/>
              </w:rPr>
            </w:pPr>
            <w:r w:rsidRPr="004E2B72">
              <w:rPr>
                <w:rFonts w:cs="Arial"/>
              </w:rPr>
              <w:t xml:space="preserve">Z. Ostatní, k fázi životního cyklu nepřiřaditelné režijní náklady </w:t>
            </w:r>
          </w:p>
        </w:tc>
        <w:tc>
          <w:tcPr>
            <w:tcW w:w="1152" w:type="dxa"/>
            <w:tcBorders>
              <w:left w:val="double" w:sz="4" w:space="0" w:color="auto"/>
            </w:tcBorders>
            <w:shd w:val="clear" w:color="auto" w:fill="auto"/>
          </w:tcPr>
          <w:p w14:paraId="7EBAFC02" w14:textId="77777777"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shd w:val="clear" w:color="auto" w:fill="auto"/>
          </w:tcPr>
          <w:p w14:paraId="6662CD3D" w14:textId="77777777"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Borders>
              <w:right w:val="double" w:sz="4" w:space="0" w:color="auto"/>
            </w:tcBorders>
            <w:shd w:val="clear" w:color="auto" w:fill="auto"/>
          </w:tcPr>
          <w:p w14:paraId="77688861" w14:textId="77777777"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027" w:type="dxa"/>
            <w:tcBorders>
              <w:left w:val="double" w:sz="4" w:space="0" w:color="auto"/>
              <w:right w:val="double" w:sz="4" w:space="0" w:color="auto"/>
            </w:tcBorders>
            <w:shd w:val="clear" w:color="auto" w:fill="auto"/>
          </w:tcPr>
          <w:p w14:paraId="0044EEAC" w14:textId="5F6AFFDC"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452" w:type="dxa"/>
            <w:tcBorders>
              <w:left w:val="double" w:sz="4" w:space="0" w:color="auto"/>
            </w:tcBorders>
            <w:shd w:val="clear" w:color="auto" w:fill="auto"/>
          </w:tcPr>
          <w:p w14:paraId="6F84F2A8" w14:textId="2E932D4E" w:rsidR="008A04ED" w:rsidRPr="004E2B72" w:rsidRDefault="008A04ED" w:rsidP="00C80226">
            <w:pPr>
              <w:cnfStyle w:val="000000000000" w:firstRow="0" w:lastRow="0" w:firstColumn="0" w:lastColumn="0" w:oddVBand="0" w:evenVBand="0" w:oddHBand="0" w:evenHBand="0" w:firstRowFirstColumn="0" w:firstRowLastColumn="0" w:lastRowFirstColumn="0" w:lastRowLastColumn="0"/>
              <w:rPr>
                <w:rFonts w:cs="Arial"/>
                <w:b/>
              </w:rPr>
            </w:pPr>
            <w:r w:rsidRPr="00C80226">
              <w:rPr>
                <w:rFonts w:ascii="Arial Narrow" w:hAnsi="Arial Narrow" w:cs="Arial"/>
                <w:bCs/>
              </w:rPr>
              <w:t>Nepovinné, uveďte jen, je-li pro projekt významné</w:t>
            </w:r>
          </w:p>
        </w:tc>
      </w:tr>
      <w:tr w:rsidR="008A04ED" w:rsidRPr="004E2B72" w14:paraId="13E117B6" w14:textId="77777777" w:rsidTr="00C80226">
        <w:tc>
          <w:tcPr>
            <w:cnfStyle w:val="001000000000" w:firstRow="0" w:lastRow="0" w:firstColumn="1" w:lastColumn="0" w:oddVBand="0" w:evenVBand="0" w:oddHBand="0" w:evenHBand="0" w:firstRowFirstColumn="0" w:firstRowLastColumn="0" w:lastRowFirstColumn="0" w:lastRowLastColumn="0"/>
            <w:tcW w:w="9165" w:type="dxa"/>
            <w:gridSpan w:val="7"/>
            <w:shd w:val="clear" w:color="auto" w:fill="D9D9D9" w:themeFill="background1" w:themeFillShade="D9"/>
          </w:tcPr>
          <w:p w14:paraId="3800DB12" w14:textId="6EB93C93" w:rsidR="008A04ED" w:rsidRPr="00640794" w:rsidRDefault="0095205C" w:rsidP="008A04ED">
            <w:pPr>
              <w:jc w:val="both"/>
              <w:rPr>
                <w:rFonts w:cs="Arial"/>
              </w:rPr>
            </w:pPr>
            <w:r w:rsidRPr="008C4A1B">
              <w:rPr>
                <w:rFonts w:cs="Arial"/>
              </w:rPr>
              <w:t>UKONČENÍ SLUŽBY</w:t>
            </w:r>
            <w:r>
              <w:rPr>
                <w:rFonts w:cs="Arial"/>
              </w:rPr>
              <w:t xml:space="preserve"> (</w:t>
            </w:r>
            <w:r w:rsidR="008A04ED" w:rsidRPr="00640794">
              <w:rPr>
                <w:rFonts w:cs="Arial"/>
              </w:rPr>
              <w:t>produkčního provozu</w:t>
            </w:r>
            <w:r>
              <w:rPr>
                <w:rFonts w:cs="Arial"/>
              </w:rPr>
              <w:t>)</w:t>
            </w:r>
          </w:p>
        </w:tc>
      </w:tr>
      <w:tr w:rsidR="003B36B1" w:rsidRPr="004E2B72" w14:paraId="249D27E2" w14:textId="77777777" w:rsidTr="0095205C">
        <w:trPr>
          <w:gridAfter w:val="1"/>
          <w:wAfter w:w="28" w:type="dxa"/>
        </w:trPr>
        <w:tc>
          <w:tcPr>
            <w:cnfStyle w:val="001000000000" w:firstRow="0" w:lastRow="0" w:firstColumn="1" w:lastColumn="0" w:oddVBand="0" w:evenVBand="0" w:oddHBand="0" w:evenHBand="0" w:firstRowFirstColumn="0" w:firstRowLastColumn="0" w:lastRowFirstColumn="0" w:lastRowLastColumn="0"/>
            <w:tcW w:w="2956" w:type="dxa"/>
            <w:tcBorders>
              <w:right w:val="double" w:sz="4" w:space="0" w:color="auto"/>
            </w:tcBorders>
            <w:shd w:val="clear" w:color="auto" w:fill="D9D9D9" w:themeFill="background1" w:themeFillShade="D9"/>
          </w:tcPr>
          <w:p w14:paraId="4D068CC7" w14:textId="77777777" w:rsidR="008A04ED" w:rsidRPr="004E2B72" w:rsidRDefault="008A04ED" w:rsidP="008A04ED">
            <w:pPr>
              <w:rPr>
                <w:rFonts w:cs="Arial"/>
              </w:rPr>
            </w:pPr>
            <w:r w:rsidRPr="004E2B72">
              <w:rPr>
                <w:rFonts w:cs="Arial"/>
              </w:rPr>
              <w:t>I. Útlum, konzervace a ukončení řešení</w:t>
            </w:r>
          </w:p>
        </w:tc>
        <w:tc>
          <w:tcPr>
            <w:tcW w:w="1152" w:type="dxa"/>
            <w:tcBorders>
              <w:left w:val="double" w:sz="4" w:space="0" w:color="auto"/>
            </w:tcBorders>
            <w:shd w:val="clear" w:color="auto" w:fill="D9D9D9" w:themeFill="background1" w:themeFillShade="D9"/>
          </w:tcPr>
          <w:p w14:paraId="0F539FBD" w14:textId="77777777"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shd w:val="clear" w:color="auto" w:fill="D9D9D9" w:themeFill="background1" w:themeFillShade="D9"/>
          </w:tcPr>
          <w:p w14:paraId="1623C94A" w14:textId="77777777"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275" w:type="dxa"/>
            <w:tcBorders>
              <w:right w:val="double" w:sz="4" w:space="0" w:color="auto"/>
            </w:tcBorders>
            <w:shd w:val="clear" w:color="auto" w:fill="D9D9D9" w:themeFill="background1" w:themeFillShade="D9"/>
          </w:tcPr>
          <w:p w14:paraId="75EDD520" w14:textId="77777777"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027" w:type="dxa"/>
            <w:tcBorders>
              <w:left w:val="double" w:sz="4" w:space="0" w:color="auto"/>
              <w:right w:val="double" w:sz="4" w:space="0" w:color="auto"/>
            </w:tcBorders>
            <w:shd w:val="clear" w:color="auto" w:fill="D9D9D9" w:themeFill="background1" w:themeFillShade="D9"/>
          </w:tcPr>
          <w:p w14:paraId="40162423" w14:textId="2F144C01"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1452" w:type="dxa"/>
            <w:tcBorders>
              <w:left w:val="double" w:sz="4" w:space="0" w:color="auto"/>
            </w:tcBorders>
            <w:shd w:val="clear" w:color="auto" w:fill="D9D9D9" w:themeFill="background1" w:themeFillShade="D9"/>
          </w:tcPr>
          <w:p w14:paraId="2C7521C4" w14:textId="38B4856D"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rPr>
            </w:pPr>
          </w:p>
        </w:tc>
      </w:tr>
      <w:tr w:rsidR="00030205" w:rsidRPr="004E2B72" w14:paraId="3EBE99D0" w14:textId="77777777" w:rsidTr="0095205C">
        <w:trPr>
          <w:gridAfter w:val="1"/>
          <w:wAfter w:w="28" w:type="dxa"/>
        </w:trPr>
        <w:tc>
          <w:tcPr>
            <w:cnfStyle w:val="001000000000" w:firstRow="0" w:lastRow="0" w:firstColumn="1" w:lastColumn="0" w:oddVBand="0" w:evenVBand="0" w:oddHBand="0" w:evenHBand="0" w:firstRowFirstColumn="0" w:firstRowLastColumn="0" w:lastRowFirstColumn="0" w:lastRowLastColumn="0"/>
            <w:tcW w:w="2956" w:type="dxa"/>
            <w:tcBorders>
              <w:top w:val="double" w:sz="4" w:space="0" w:color="auto"/>
              <w:right w:val="double" w:sz="4" w:space="0" w:color="auto"/>
            </w:tcBorders>
            <w:shd w:val="clear" w:color="auto" w:fill="D9D9D9" w:themeFill="background1" w:themeFillShade="D9"/>
          </w:tcPr>
          <w:p w14:paraId="6BF73234" w14:textId="77777777" w:rsidR="008A04ED" w:rsidRPr="004E2B72" w:rsidRDefault="008A04ED" w:rsidP="008A04ED">
            <w:pPr>
              <w:rPr>
                <w:rFonts w:cs="Arial"/>
              </w:rPr>
            </w:pPr>
            <w:r w:rsidRPr="004E2B72">
              <w:rPr>
                <w:rFonts w:cs="Arial"/>
              </w:rPr>
              <w:t>Celkové TCO projektu (5let)</w:t>
            </w:r>
          </w:p>
        </w:tc>
        <w:tc>
          <w:tcPr>
            <w:tcW w:w="0" w:type="dxa"/>
            <w:tcBorders>
              <w:top w:val="double" w:sz="4" w:space="0" w:color="auto"/>
              <w:left w:val="double" w:sz="4" w:space="0" w:color="auto"/>
            </w:tcBorders>
          </w:tcPr>
          <w:p w14:paraId="054DE9B5" w14:textId="77777777"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275" w:type="dxa"/>
            <w:tcBorders>
              <w:top w:val="double" w:sz="4" w:space="0" w:color="auto"/>
            </w:tcBorders>
          </w:tcPr>
          <w:p w14:paraId="190B7F20" w14:textId="77777777"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b/>
              </w:rPr>
            </w:pPr>
            <w:r w:rsidRPr="004E2B72">
              <w:rPr>
                <w:rFonts w:cs="Arial"/>
              </w:rPr>
              <w:t>∑</w:t>
            </w:r>
          </w:p>
        </w:tc>
        <w:tc>
          <w:tcPr>
            <w:tcW w:w="1275" w:type="dxa"/>
            <w:tcBorders>
              <w:top w:val="double" w:sz="4" w:space="0" w:color="auto"/>
              <w:right w:val="double" w:sz="4" w:space="0" w:color="auto"/>
            </w:tcBorders>
          </w:tcPr>
          <w:p w14:paraId="6918B535" w14:textId="77777777"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b/>
              </w:rPr>
            </w:pPr>
            <w:r w:rsidRPr="004E2B72">
              <w:rPr>
                <w:rFonts w:cs="Arial"/>
              </w:rPr>
              <w:t>∑</w:t>
            </w:r>
          </w:p>
        </w:tc>
        <w:tc>
          <w:tcPr>
            <w:tcW w:w="0" w:type="dxa"/>
            <w:tcBorders>
              <w:top w:val="double" w:sz="4" w:space="0" w:color="auto"/>
              <w:left w:val="double" w:sz="4" w:space="0" w:color="auto"/>
              <w:right w:val="double" w:sz="4" w:space="0" w:color="auto"/>
            </w:tcBorders>
          </w:tcPr>
          <w:p w14:paraId="73EC9023" w14:textId="77777777"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b/>
              </w:rPr>
            </w:pPr>
            <w:r w:rsidRPr="004E2B72">
              <w:rPr>
                <w:rFonts w:cs="Arial"/>
              </w:rPr>
              <w:t>∑</w:t>
            </w:r>
          </w:p>
        </w:tc>
        <w:tc>
          <w:tcPr>
            <w:tcW w:w="0" w:type="dxa"/>
            <w:tcBorders>
              <w:top w:val="double" w:sz="4" w:space="0" w:color="auto"/>
              <w:left w:val="double" w:sz="4" w:space="0" w:color="auto"/>
            </w:tcBorders>
          </w:tcPr>
          <w:p w14:paraId="55627F68" w14:textId="77777777" w:rsidR="008A04ED" w:rsidRPr="004E2B72" w:rsidRDefault="008A04ED" w:rsidP="008A04ED">
            <w:pPr>
              <w:jc w:val="both"/>
              <w:cnfStyle w:val="000000000000" w:firstRow="0" w:lastRow="0" w:firstColumn="0" w:lastColumn="0" w:oddVBand="0" w:evenVBand="0" w:oddHBand="0" w:evenHBand="0" w:firstRowFirstColumn="0" w:firstRowLastColumn="0" w:lastRowFirstColumn="0" w:lastRowLastColumn="0"/>
              <w:rPr>
                <w:rFonts w:cs="Arial"/>
                <w:b/>
              </w:rPr>
            </w:pPr>
          </w:p>
        </w:tc>
      </w:tr>
    </w:tbl>
    <w:p w14:paraId="27770C7A" w14:textId="77777777" w:rsidR="00357B8A" w:rsidRPr="004E2B72" w:rsidRDefault="00357B8A" w:rsidP="00073E78">
      <w:pPr>
        <w:pStyle w:val="Zkladntext"/>
        <w:jc w:val="both"/>
        <w:rPr>
          <w:rFonts w:cs="Arial"/>
        </w:rPr>
      </w:pPr>
    </w:p>
    <w:p w14:paraId="549CE676" w14:textId="4DD12E4B" w:rsidR="00155D4D" w:rsidRPr="004E2B72" w:rsidRDefault="00155D4D" w:rsidP="00073E78">
      <w:pPr>
        <w:pStyle w:val="Zkladntext"/>
        <w:jc w:val="both"/>
        <w:rPr>
          <w:rFonts w:cs="Arial"/>
        </w:rPr>
      </w:pPr>
      <w:r w:rsidRPr="004E2B72">
        <w:rPr>
          <w:rFonts w:cs="Arial"/>
        </w:rPr>
        <w:t>Podstatné</w:t>
      </w:r>
      <w:r w:rsidR="00FA7CE8" w:rsidRPr="004E2B72">
        <w:rPr>
          <w:rFonts w:cs="Arial"/>
        </w:rPr>
        <w:t xml:space="preserve"> </w:t>
      </w:r>
      <w:r w:rsidRPr="004E2B72">
        <w:rPr>
          <w:rFonts w:cs="Arial"/>
        </w:rPr>
        <w:t>pro toto použití</w:t>
      </w:r>
      <w:r w:rsidR="00FA7CE8" w:rsidRPr="004E2B72">
        <w:rPr>
          <w:rFonts w:cs="Arial"/>
        </w:rPr>
        <w:t xml:space="preserve"> TCO ISVS</w:t>
      </w:r>
      <w:r w:rsidRPr="004E2B72">
        <w:rPr>
          <w:rFonts w:cs="Arial"/>
        </w:rPr>
        <w:t xml:space="preserve"> je, že </w:t>
      </w:r>
      <w:r w:rsidR="00F57756">
        <w:rPr>
          <w:rFonts w:cs="Arial"/>
        </w:rPr>
        <w:t>zohledňuj</w:t>
      </w:r>
      <w:r w:rsidRPr="004E2B72">
        <w:rPr>
          <w:rFonts w:cs="Arial"/>
        </w:rPr>
        <w:t xml:space="preserve">e </w:t>
      </w:r>
      <w:r w:rsidR="00F57756">
        <w:rPr>
          <w:rFonts w:cs="Arial"/>
        </w:rPr>
        <w:t xml:space="preserve">výdaje a </w:t>
      </w:r>
      <w:r w:rsidRPr="004E2B72">
        <w:rPr>
          <w:rFonts w:cs="Arial"/>
        </w:rPr>
        <w:t xml:space="preserve">náklady plánované dopředu, plynoucí z podstaty navrhovaného řešení, stavu úřadu a situace na trhu, </w:t>
      </w:r>
      <w:r w:rsidR="00F57756">
        <w:rPr>
          <w:rFonts w:cs="Arial"/>
        </w:rPr>
        <w:t xml:space="preserve">což sice na jednu stranu eliminuje </w:t>
      </w:r>
      <w:r w:rsidRPr="004E2B72">
        <w:rPr>
          <w:rFonts w:cs="Arial"/>
        </w:rPr>
        <w:t xml:space="preserve">obtíž, potřebné údaje při </w:t>
      </w:r>
      <w:r w:rsidR="003279EA" w:rsidRPr="004E2B72">
        <w:rPr>
          <w:rFonts w:cs="Arial"/>
        </w:rPr>
        <w:t>plánová</w:t>
      </w:r>
      <w:r w:rsidRPr="004E2B72">
        <w:rPr>
          <w:rFonts w:cs="Arial"/>
        </w:rPr>
        <w:t>ní projektu a vyplňování žádosti dohled</w:t>
      </w:r>
      <w:r w:rsidR="00F57756">
        <w:rPr>
          <w:rFonts w:cs="Arial"/>
        </w:rPr>
        <w:t xml:space="preserve">ávat </w:t>
      </w:r>
      <w:r w:rsidRPr="004E2B72">
        <w:rPr>
          <w:rFonts w:cs="Arial"/>
        </w:rPr>
        <w:t>v historii účetnictví úřadu</w:t>
      </w:r>
      <w:r w:rsidR="00F57756">
        <w:rPr>
          <w:rFonts w:cs="Arial"/>
        </w:rPr>
        <w:t xml:space="preserve">, ale zároveň na druhou stranu </w:t>
      </w:r>
      <w:r w:rsidR="00F95E28">
        <w:rPr>
          <w:rFonts w:cs="Arial"/>
        </w:rPr>
        <w:t>nezohledňuje již existující zdroje a na ně v minulosti vynaložené finanční prostředky</w:t>
      </w:r>
      <w:r w:rsidRPr="004E2B72">
        <w:rPr>
          <w:rFonts w:cs="Arial"/>
        </w:rPr>
        <w:t>.</w:t>
      </w:r>
    </w:p>
    <w:p w14:paraId="12294731" w14:textId="28F589AF" w:rsidR="00155D4D" w:rsidRDefault="00155D4D" w:rsidP="00073E78">
      <w:pPr>
        <w:pStyle w:val="Zkladntext"/>
        <w:jc w:val="both"/>
        <w:rPr>
          <w:rFonts w:cs="Arial"/>
        </w:rPr>
      </w:pPr>
      <w:r w:rsidRPr="004E2B72">
        <w:rPr>
          <w:rFonts w:cs="Arial"/>
        </w:rPr>
        <w:t xml:space="preserve">To nic nemění na tom, že bude obtížné shodnout se </w:t>
      </w:r>
      <w:r w:rsidR="00DE4062" w:rsidRPr="004E2B72">
        <w:rPr>
          <w:rFonts w:cs="Arial"/>
        </w:rPr>
        <w:t xml:space="preserve">v úřadu </w:t>
      </w:r>
      <w:r w:rsidRPr="004E2B72">
        <w:rPr>
          <w:rFonts w:cs="Arial"/>
        </w:rPr>
        <w:t>na reálných údajích tohoto plánu. Jako východisko pro lepší řízení informatiky úřadu a VS jako celku je to však nezbytné, a Zásadami vyžadované.</w:t>
      </w:r>
    </w:p>
    <w:p w14:paraId="17BEDAB5" w14:textId="39D210B6" w:rsidR="008E10F0" w:rsidRPr="004E2B72" w:rsidRDefault="008E10F0" w:rsidP="008E10F0">
      <w:pPr>
        <w:tabs>
          <w:tab w:val="clear" w:pos="284"/>
          <w:tab w:val="clear" w:pos="567"/>
          <w:tab w:val="clear" w:pos="851"/>
          <w:tab w:val="clear" w:pos="1134"/>
          <w:tab w:val="clear" w:pos="1418"/>
          <w:tab w:val="clear" w:pos="9072"/>
        </w:tabs>
        <w:spacing w:after="0"/>
        <w:jc w:val="both"/>
        <w:rPr>
          <w:rFonts w:cs="Arial"/>
          <w:szCs w:val="22"/>
        </w:rPr>
      </w:pPr>
      <w:r>
        <w:rPr>
          <w:rFonts w:cs="Arial"/>
        </w:rPr>
        <w:t xml:space="preserve">Pokud má správce ISVS správně vyplněné údaje v Rejstříku ISVS </w:t>
      </w:r>
      <w:r>
        <w:rPr>
          <w:rFonts w:cs="Arial"/>
          <w:szCs w:val="22"/>
        </w:rPr>
        <w:t xml:space="preserve">dle </w:t>
      </w:r>
      <w:r w:rsidRPr="009479F2">
        <w:rPr>
          <w:rFonts w:cs="Arial"/>
          <w:szCs w:val="22"/>
        </w:rPr>
        <w:t>§</w:t>
      </w:r>
      <w:r>
        <w:rPr>
          <w:rFonts w:cs="Arial"/>
          <w:szCs w:val="22"/>
        </w:rPr>
        <w:t> </w:t>
      </w:r>
      <w:r w:rsidRPr="009479F2">
        <w:rPr>
          <w:rFonts w:cs="Arial"/>
          <w:szCs w:val="22"/>
        </w:rPr>
        <w:t>52c zákona č. 111/2009 Sb. o základních registrech</w:t>
      </w:r>
      <w:r>
        <w:rPr>
          <w:rFonts w:cs="Arial"/>
          <w:szCs w:val="22"/>
        </w:rPr>
        <w:t xml:space="preserve">, bude možné do budoucna na toto vyplnění pouze odkázat a následně bude provedeno automatické využití údajů pro potřeby stanoviska odboru Hlavního architekta eGovernmentu. Více o rejstříku informačních systémů veřejné správy nalezete zde </w:t>
      </w:r>
      <w:hyperlink r:id="rId18" w:history="1">
        <w:r w:rsidRPr="00D01CCB">
          <w:rPr>
            <w:rStyle w:val="Hypertextovodkaz"/>
            <w:rFonts w:cs="Arial"/>
            <w:szCs w:val="22"/>
          </w:rPr>
          <w:t>https://archi.gov.cz/znalostni_baze:aisp_editace_udaju</w:t>
        </w:r>
      </w:hyperlink>
      <w:r>
        <w:rPr>
          <w:rFonts w:cs="Arial"/>
          <w:szCs w:val="22"/>
        </w:rPr>
        <w:t xml:space="preserve">. </w:t>
      </w:r>
    </w:p>
    <w:p w14:paraId="631FBC73" w14:textId="227C3FC8" w:rsidR="00CA339D" w:rsidRDefault="00CA339D" w:rsidP="00CA339D">
      <w:pPr>
        <w:pStyle w:val="Nadpis3"/>
        <w:rPr>
          <w:rFonts w:cs="Arial"/>
        </w:rPr>
      </w:pPr>
      <w:bookmarkStart w:id="36" w:name="_Toc120716663"/>
      <w:bookmarkStart w:id="37" w:name="_Toc120784686"/>
      <w:bookmarkStart w:id="38" w:name="_Toc120716664"/>
      <w:bookmarkStart w:id="39" w:name="_Toc120784687"/>
      <w:bookmarkStart w:id="40" w:name="_Toc120784688"/>
      <w:bookmarkEnd w:id="36"/>
      <w:bookmarkEnd w:id="37"/>
      <w:bookmarkEnd w:id="38"/>
      <w:bookmarkEnd w:id="39"/>
      <w:r w:rsidRPr="00EE43C9">
        <w:rPr>
          <w:rFonts w:cs="Arial"/>
        </w:rPr>
        <w:t>Odůvodnění výběru zvolené varianty na základě ekonomické výhodnosti</w:t>
      </w:r>
      <w:bookmarkEnd w:id="40"/>
    </w:p>
    <w:p w14:paraId="538D65BD" w14:textId="13A78E50" w:rsidR="00CA339D" w:rsidRDefault="00CA339D" w:rsidP="00CA339D">
      <w:pPr>
        <w:pStyle w:val="Zkladntext"/>
      </w:pPr>
      <w:r>
        <w:t xml:space="preserve">Formulář Žádosti o stanovisko OHA vyžaduje uvedení ostatních uvažovaných variant řešení, vedle varianty předkládané, a nově uvedení informací o výsledcích vyhodnocení ekonomické </w:t>
      </w:r>
      <w:r w:rsidR="00335BCA">
        <w:t>výhodnosti</w:t>
      </w:r>
      <w:r>
        <w:t xml:space="preserve"> variant. Přitom formulář nepředepisuje konkrétní metodiku vyhodnocení nákladů u posuzovaných variant, žadatelé se mohou držet pravidel pro vyhodnocení variant dle kapitoly </w:t>
      </w:r>
      <w:r>
        <w:fldChar w:fldCharType="begin"/>
      </w:r>
      <w:r>
        <w:instrText xml:space="preserve"> REF _Ref115780534 \r \h </w:instrText>
      </w:r>
      <w:r>
        <w:fldChar w:fldCharType="separate"/>
      </w:r>
      <w:r>
        <w:t>3.2</w:t>
      </w:r>
      <w:r>
        <w:fldChar w:fldCharType="end"/>
      </w:r>
      <w:r>
        <w:t xml:space="preserve"> této metodiky.</w:t>
      </w:r>
    </w:p>
    <w:p w14:paraId="2B4B38E8" w14:textId="07A15F59" w:rsidR="00F63B0C" w:rsidRPr="004E2B72" w:rsidRDefault="00F63B0C" w:rsidP="00C80226">
      <w:pPr>
        <w:pStyle w:val="Nadpis2"/>
        <w:jc w:val="both"/>
        <w:rPr>
          <w:rFonts w:cs="Arial"/>
        </w:rPr>
      </w:pPr>
      <w:bookmarkStart w:id="41" w:name="_Toc120716666"/>
      <w:bookmarkStart w:id="42" w:name="_Toc120784689"/>
      <w:bookmarkStart w:id="43" w:name="_Ref120709816"/>
      <w:bookmarkStart w:id="44" w:name="_Toc120784690"/>
      <w:bookmarkEnd w:id="41"/>
      <w:bookmarkEnd w:id="42"/>
      <w:r w:rsidRPr="004E2B72">
        <w:rPr>
          <w:rFonts w:cs="Arial"/>
        </w:rPr>
        <w:t>Detailní řízení nákladů - Controlling ICT</w:t>
      </w:r>
      <w:r w:rsidR="003B36B1">
        <w:rPr>
          <w:rFonts w:cs="Arial"/>
        </w:rPr>
        <w:t xml:space="preserve"> </w:t>
      </w:r>
      <w:r w:rsidR="00955C73" w:rsidRPr="004E2B72">
        <w:rPr>
          <w:rFonts w:cs="Arial"/>
        </w:rPr>
        <w:t>V</w:t>
      </w:r>
      <w:r w:rsidR="003B36B1">
        <w:rPr>
          <w:rFonts w:cs="Arial"/>
        </w:rPr>
        <w:t>S</w:t>
      </w:r>
      <w:bookmarkEnd w:id="43"/>
      <w:bookmarkEnd w:id="44"/>
      <w:r w:rsidR="00955C73" w:rsidRPr="004E2B72">
        <w:rPr>
          <w:rFonts w:cs="Arial"/>
        </w:rPr>
        <w:t xml:space="preserve"> </w:t>
      </w:r>
    </w:p>
    <w:p w14:paraId="7394054C" w14:textId="7302B1BD" w:rsidR="007E78E9" w:rsidRPr="004E2B72" w:rsidRDefault="007E78E9" w:rsidP="00C80226">
      <w:pPr>
        <w:pStyle w:val="Zkladntext"/>
        <w:jc w:val="both"/>
        <w:rPr>
          <w:rFonts w:cs="Arial"/>
        </w:rPr>
      </w:pPr>
      <w:r w:rsidRPr="004E2B72">
        <w:rPr>
          <w:rFonts w:cs="Arial"/>
        </w:rPr>
        <w:t>Při tomto scénáři jsou nástroje sloužící jinak pro sestavení souhrnného ukazatele TCO uplatněny v podstatně větším rozsahu i detailu pro podrobné řízení spotřeby zdrojů a jim odpovídajících nákladů.</w:t>
      </w:r>
    </w:p>
    <w:p w14:paraId="304A2D50" w14:textId="11FCFA88" w:rsidR="007E78E9" w:rsidRDefault="007E78E9" w:rsidP="00073E78">
      <w:pPr>
        <w:pStyle w:val="Zkladntext"/>
        <w:jc w:val="both"/>
        <w:rPr>
          <w:rFonts w:cs="Arial"/>
        </w:rPr>
      </w:pPr>
      <w:r w:rsidRPr="004E2B72">
        <w:rPr>
          <w:rFonts w:cs="Arial"/>
        </w:rPr>
        <w:t>Tento způsob užití TCO je pouze ve stadiu ideového návrhu a není dopracován do úrovně pro praktické použití.</w:t>
      </w:r>
    </w:p>
    <w:p w14:paraId="3123FBB7" w14:textId="2F64B280" w:rsidR="0081769B" w:rsidRDefault="0081769B" w:rsidP="00073E78">
      <w:pPr>
        <w:pStyle w:val="Zkladntext"/>
        <w:jc w:val="both"/>
        <w:rPr>
          <w:rFonts w:cs="Arial"/>
        </w:rPr>
      </w:pPr>
    </w:p>
    <w:tbl>
      <w:tblPr>
        <w:tblStyle w:val="Style1"/>
        <w:tblW w:w="9611" w:type="dxa"/>
        <w:tblInd w:w="-5" w:type="dxa"/>
        <w:tblLook w:val="04A0" w:firstRow="1" w:lastRow="0" w:firstColumn="1" w:lastColumn="0" w:noHBand="0" w:noVBand="1"/>
      </w:tblPr>
      <w:tblGrid>
        <w:gridCol w:w="8193"/>
        <w:gridCol w:w="1418"/>
      </w:tblGrid>
      <w:tr w:rsidR="0081769B" w:rsidRPr="004E2B72" w14:paraId="5D1F6B82" w14:textId="77777777" w:rsidTr="004F133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93" w:type="dxa"/>
          </w:tcPr>
          <w:p w14:paraId="6ABB34DF" w14:textId="77777777" w:rsidR="0081769B" w:rsidRPr="004E2B72" w:rsidRDefault="0081769B" w:rsidP="004F1337">
            <w:pPr>
              <w:spacing w:after="0"/>
              <w:jc w:val="both"/>
              <w:rPr>
                <w:rFonts w:cs="Arial"/>
              </w:rPr>
            </w:pPr>
            <w:r w:rsidRPr="004E2B72">
              <w:rPr>
                <w:rFonts w:cs="Arial"/>
              </w:rPr>
              <w:t>Souhrnná položka modelu TCO  - nákladová kategorie</w:t>
            </w:r>
          </w:p>
          <w:p w14:paraId="2AE84F97" w14:textId="77777777" w:rsidR="0081769B" w:rsidRPr="004E2B72" w:rsidRDefault="0081769B" w:rsidP="004F1337">
            <w:pPr>
              <w:spacing w:after="0"/>
              <w:jc w:val="both"/>
              <w:rPr>
                <w:rFonts w:cs="Arial"/>
              </w:rPr>
            </w:pPr>
            <w:r w:rsidRPr="004E2B72">
              <w:rPr>
                <w:rFonts w:cs="Arial"/>
              </w:rPr>
              <w:t>(5 let)</w:t>
            </w:r>
          </w:p>
        </w:tc>
        <w:tc>
          <w:tcPr>
            <w:tcW w:w="1418" w:type="dxa"/>
          </w:tcPr>
          <w:p w14:paraId="2D422202" w14:textId="77777777" w:rsidR="0081769B" w:rsidRPr="004E2B72" w:rsidRDefault="0081769B" w:rsidP="004F1337">
            <w:pPr>
              <w:spacing w:after="0"/>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cs="Arial"/>
              </w:rPr>
              <w:t>Relevance pro šetření</w:t>
            </w:r>
          </w:p>
        </w:tc>
      </w:tr>
      <w:tr w:rsidR="0081769B" w:rsidRPr="004E2B72" w14:paraId="68FAFD74"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196C50B1" w14:textId="77777777" w:rsidR="0081769B" w:rsidRPr="004E2B72" w:rsidRDefault="0081769B" w:rsidP="004F1337">
            <w:pPr>
              <w:spacing w:after="0"/>
              <w:jc w:val="both"/>
              <w:rPr>
                <w:rFonts w:cs="Arial"/>
                <w:b w:val="0"/>
              </w:rPr>
            </w:pPr>
            <w:r w:rsidRPr="004E2B72">
              <w:rPr>
                <w:rFonts w:cs="Arial"/>
              </w:rPr>
              <w:t xml:space="preserve">A. Plánování, analýzy, tvorba zadání, výběr řešení a dodavatele – náklady nákupního procesu </w:t>
            </w:r>
          </w:p>
        </w:tc>
        <w:tc>
          <w:tcPr>
            <w:tcW w:w="1418" w:type="dxa"/>
            <w:shd w:val="clear" w:color="auto" w:fill="00B050"/>
          </w:tcPr>
          <w:p w14:paraId="6B605071"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0830E50C"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7FDA3576" w14:textId="77777777" w:rsidR="0081769B" w:rsidRPr="004E2B72" w:rsidRDefault="0081769B" w:rsidP="004F1337">
            <w:pPr>
              <w:spacing w:after="0"/>
              <w:jc w:val="both"/>
              <w:rPr>
                <w:rFonts w:cs="Arial"/>
                <w:b w:val="0"/>
              </w:rPr>
            </w:pPr>
            <w:r w:rsidRPr="004E2B72">
              <w:rPr>
                <w:rFonts w:cs="Arial"/>
              </w:rPr>
              <w:t>B. Nákup SW a HW pro projekt (ne v případě Cloud)</w:t>
            </w:r>
          </w:p>
        </w:tc>
        <w:tc>
          <w:tcPr>
            <w:tcW w:w="1418" w:type="dxa"/>
            <w:shd w:val="clear" w:color="auto" w:fill="00B050"/>
          </w:tcPr>
          <w:p w14:paraId="7141E667"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77D30F16"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56CFB8ED" w14:textId="77777777" w:rsidR="0081769B" w:rsidRPr="004E2B72" w:rsidRDefault="0081769B" w:rsidP="004F1337">
            <w:pPr>
              <w:spacing w:after="0"/>
              <w:jc w:val="both"/>
              <w:rPr>
                <w:rFonts w:cs="Arial"/>
                <w:b w:val="0"/>
                <w:bCs w:val="0"/>
              </w:rPr>
            </w:pPr>
            <w:r w:rsidRPr="004E2B72">
              <w:rPr>
                <w:rFonts w:cs="Arial"/>
              </w:rPr>
              <w:t xml:space="preserve">C. Analýza, vývoj, implementace, integrace a zkušební provoz </w:t>
            </w:r>
          </w:p>
        </w:tc>
        <w:tc>
          <w:tcPr>
            <w:tcW w:w="1418" w:type="dxa"/>
            <w:shd w:val="clear" w:color="auto" w:fill="00B050"/>
          </w:tcPr>
          <w:p w14:paraId="79F64572"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426156DB"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76F6B5C0" w14:textId="77777777" w:rsidR="0081769B" w:rsidRPr="004E2B72" w:rsidRDefault="0081769B" w:rsidP="004F1337">
            <w:pPr>
              <w:spacing w:after="0"/>
              <w:jc w:val="both"/>
              <w:rPr>
                <w:rFonts w:cs="Arial"/>
                <w:b w:val="0"/>
                <w:bCs w:val="0"/>
              </w:rPr>
            </w:pPr>
            <w:r w:rsidRPr="004E2B72">
              <w:rPr>
                <w:rFonts w:cs="Arial"/>
              </w:rPr>
              <w:t>D. Provoz a podpora řešení (ne v případě Cloud)</w:t>
            </w:r>
          </w:p>
        </w:tc>
        <w:tc>
          <w:tcPr>
            <w:tcW w:w="1418" w:type="dxa"/>
            <w:shd w:val="clear" w:color="auto" w:fill="00B050"/>
          </w:tcPr>
          <w:p w14:paraId="71A78334"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300E518C"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2B4DD7DE" w14:textId="77777777" w:rsidR="0081769B" w:rsidRPr="004E2B72" w:rsidRDefault="0081769B" w:rsidP="004F1337">
            <w:pPr>
              <w:spacing w:after="0"/>
              <w:jc w:val="both"/>
              <w:rPr>
                <w:rFonts w:cs="Arial"/>
                <w:b w:val="0"/>
                <w:bCs w:val="0"/>
              </w:rPr>
            </w:pPr>
            <w:r w:rsidRPr="004E2B72">
              <w:rPr>
                <w:rFonts w:cs="Arial"/>
              </w:rPr>
              <w:t>E. Údržba, opravy a průběžné úpravy (ne v případě Cloud)</w:t>
            </w:r>
          </w:p>
        </w:tc>
        <w:tc>
          <w:tcPr>
            <w:tcW w:w="1418" w:type="dxa"/>
            <w:shd w:val="clear" w:color="auto" w:fill="00B050"/>
          </w:tcPr>
          <w:p w14:paraId="645F1DFD"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07BEC855"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305B2B25" w14:textId="77777777" w:rsidR="0081769B" w:rsidRPr="004E2B72" w:rsidRDefault="0081769B" w:rsidP="004F1337">
            <w:pPr>
              <w:spacing w:after="0"/>
              <w:jc w:val="both"/>
              <w:rPr>
                <w:rFonts w:cs="Arial"/>
                <w:b w:val="0"/>
                <w:bCs w:val="0"/>
              </w:rPr>
            </w:pPr>
            <w:r w:rsidRPr="004E2B72">
              <w:rPr>
                <w:rFonts w:cs="Arial"/>
              </w:rPr>
              <w:t>F. Projekty postupné inovace a zlepšování (pokud jsou očekávány)</w:t>
            </w:r>
          </w:p>
        </w:tc>
        <w:tc>
          <w:tcPr>
            <w:tcW w:w="1418" w:type="dxa"/>
            <w:shd w:val="clear" w:color="auto" w:fill="00B050"/>
          </w:tcPr>
          <w:p w14:paraId="349308A1"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208490E2"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3D180F10" w14:textId="77777777" w:rsidR="0081769B" w:rsidRPr="004E2B72" w:rsidRDefault="0081769B" w:rsidP="004F1337">
            <w:pPr>
              <w:spacing w:after="0"/>
              <w:jc w:val="both"/>
              <w:rPr>
                <w:rFonts w:cs="Arial"/>
                <w:b w:val="0"/>
                <w:bCs w:val="0"/>
              </w:rPr>
            </w:pPr>
            <w:r w:rsidRPr="004E2B72">
              <w:rPr>
                <w:rFonts w:cs="Arial"/>
              </w:rPr>
              <w:t>G. Projekty upgrade (pokud jsou očekávány)</w:t>
            </w:r>
          </w:p>
        </w:tc>
        <w:tc>
          <w:tcPr>
            <w:tcW w:w="1418" w:type="dxa"/>
            <w:shd w:val="clear" w:color="auto" w:fill="00B050"/>
          </w:tcPr>
          <w:p w14:paraId="5F06BCC4"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35DEECDA" w14:textId="77777777" w:rsidTr="00C80226">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18B6F43D" w14:textId="77777777" w:rsidR="0081769B" w:rsidRPr="004E2B72" w:rsidRDefault="0081769B" w:rsidP="004F1337">
            <w:pPr>
              <w:spacing w:after="0"/>
              <w:jc w:val="both"/>
              <w:rPr>
                <w:rFonts w:cs="Arial"/>
                <w:b w:val="0"/>
                <w:bCs w:val="0"/>
              </w:rPr>
            </w:pPr>
            <w:r w:rsidRPr="004E2B72">
              <w:rPr>
                <w:rFonts w:cs="Arial"/>
              </w:rPr>
              <w:t>H. Zvýšené náklady užívání řešení (pokud se mohou vyskytnout)</w:t>
            </w:r>
          </w:p>
        </w:tc>
        <w:tc>
          <w:tcPr>
            <w:tcW w:w="1418" w:type="dxa"/>
            <w:shd w:val="clear" w:color="auto" w:fill="00B050"/>
          </w:tcPr>
          <w:p w14:paraId="3DC47C3C"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5E628EB9" w14:textId="77777777" w:rsidTr="00C80226">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443145FB" w14:textId="77777777" w:rsidR="0081769B" w:rsidRPr="004E2B72" w:rsidRDefault="0081769B" w:rsidP="004F1337">
            <w:pPr>
              <w:spacing w:after="0"/>
              <w:jc w:val="both"/>
              <w:rPr>
                <w:rFonts w:cs="Arial"/>
                <w:b w:val="0"/>
              </w:rPr>
            </w:pPr>
            <w:r w:rsidRPr="004E2B72">
              <w:rPr>
                <w:rFonts w:cs="Arial"/>
              </w:rPr>
              <w:t xml:space="preserve">I. Útlum, konzervace a ukončení řešení (použije </w:t>
            </w:r>
            <w:r w:rsidRPr="000A2282">
              <w:rPr>
                <w:rFonts w:cs="Arial"/>
              </w:rPr>
              <w:t xml:space="preserve">se </w:t>
            </w:r>
            <w:r w:rsidRPr="004E2B72">
              <w:rPr>
                <w:rFonts w:cs="Arial"/>
              </w:rPr>
              <w:t>na nahrazované řešení)</w:t>
            </w:r>
          </w:p>
        </w:tc>
        <w:tc>
          <w:tcPr>
            <w:tcW w:w="0" w:type="dxa"/>
            <w:shd w:val="clear" w:color="auto" w:fill="00B050"/>
          </w:tcPr>
          <w:p w14:paraId="31567F68"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52330629"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060A362A" w14:textId="77777777" w:rsidR="0081769B" w:rsidRPr="004E2B72" w:rsidRDefault="0081769B" w:rsidP="004F1337">
            <w:pPr>
              <w:spacing w:after="0"/>
              <w:jc w:val="both"/>
              <w:rPr>
                <w:rFonts w:cs="Arial"/>
                <w:b w:val="0"/>
                <w:bCs w:val="0"/>
              </w:rPr>
            </w:pPr>
            <w:r w:rsidRPr="004E2B72">
              <w:rPr>
                <w:rFonts w:cs="Arial"/>
              </w:rPr>
              <w:t>X. Poplatky za řešení jako služba (pouze Cloud)</w:t>
            </w:r>
          </w:p>
        </w:tc>
        <w:tc>
          <w:tcPr>
            <w:tcW w:w="1418" w:type="dxa"/>
            <w:shd w:val="clear" w:color="auto" w:fill="00B050"/>
          </w:tcPr>
          <w:p w14:paraId="50CC8C66"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5AF881BD" w14:textId="77777777" w:rsidTr="00C80226">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0A803C52" w14:textId="77777777" w:rsidR="0081769B" w:rsidRPr="004E2B72" w:rsidRDefault="0081769B" w:rsidP="004F1337">
            <w:pPr>
              <w:spacing w:after="0"/>
              <w:jc w:val="both"/>
              <w:rPr>
                <w:rFonts w:cs="Arial"/>
                <w:b w:val="0"/>
              </w:rPr>
            </w:pPr>
            <w:r w:rsidRPr="004E2B72">
              <w:rPr>
                <w:rFonts w:cs="Arial"/>
              </w:rPr>
              <w:t>Z. Ostatní, k fázi životního cyklu nepřiřaditelné (režijní) náklady</w:t>
            </w:r>
          </w:p>
        </w:tc>
        <w:tc>
          <w:tcPr>
            <w:tcW w:w="1418" w:type="dxa"/>
            <w:shd w:val="clear" w:color="auto" w:fill="00B050"/>
          </w:tcPr>
          <w:p w14:paraId="7496DF11"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1C04357C"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0A962587" w14:textId="77777777" w:rsidR="0081769B" w:rsidRPr="004E2B72" w:rsidRDefault="0081769B" w:rsidP="004F1337">
            <w:pPr>
              <w:spacing w:after="0"/>
              <w:jc w:val="both"/>
              <w:rPr>
                <w:rFonts w:cs="Arial"/>
              </w:rPr>
            </w:pPr>
            <w:r w:rsidRPr="004E2B72">
              <w:rPr>
                <w:rFonts w:cs="Arial"/>
              </w:rPr>
              <w:t>Celkové TCO projektu (5let)</w:t>
            </w:r>
          </w:p>
        </w:tc>
        <w:tc>
          <w:tcPr>
            <w:tcW w:w="1418" w:type="dxa"/>
          </w:tcPr>
          <w:p w14:paraId="3D2A54CE"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r>
    </w:tbl>
    <w:p w14:paraId="7A2E8453" w14:textId="3DC1DFE1" w:rsidR="00F63B0C" w:rsidRPr="004E2B72" w:rsidRDefault="00F63B0C" w:rsidP="00A16C06">
      <w:pPr>
        <w:pStyle w:val="Nadpis2"/>
        <w:jc w:val="both"/>
        <w:rPr>
          <w:rFonts w:cs="Arial"/>
        </w:rPr>
      </w:pPr>
      <w:bookmarkStart w:id="45" w:name="_Toc120716668"/>
      <w:bookmarkStart w:id="46" w:name="_Toc120784691"/>
      <w:bookmarkStart w:id="47" w:name="_Toc120784692"/>
      <w:bookmarkEnd w:id="45"/>
      <w:bookmarkEnd w:id="46"/>
      <w:r w:rsidRPr="004E2B72">
        <w:rPr>
          <w:rFonts w:cs="Arial"/>
        </w:rPr>
        <w:t>Plánování rozpočtu</w:t>
      </w:r>
      <w:bookmarkEnd w:id="47"/>
      <w:r w:rsidRPr="004E2B72">
        <w:rPr>
          <w:rFonts w:cs="Arial"/>
        </w:rPr>
        <w:t xml:space="preserve"> </w:t>
      </w:r>
    </w:p>
    <w:p w14:paraId="51B68C7C" w14:textId="052F945E" w:rsidR="006B1E04" w:rsidRPr="004E2B72" w:rsidRDefault="006B1E04" w:rsidP="00A16C06">
      <w:pPr>
        <w:pStyle w:val="Zkladntext"/>
        <w:jc w:val="both"/>
        <w:rPr>
          <w:rFonts w:cs="Arial"/>
        </w:rPr>
      </w:pPr>
      <w:r w:rsidRPr="004E2B72">
        <w:rPr>
          <w:rFonts w:cs="Arial"/>
        </w:rPr>
        <w:t>Tento způsob představuje použití ročního podílu na celkové výši ukazatele TCO pro stanovení a obhájení ročního rozpočtu úřadu a celkové 5 leté TCO pro obdobně stanovení a obhájení rozpočtového výhledu.</w:t>
      </w:r>
    </w:p>
    <w:p w14:paraId="0D5B8B28" w14:textId="4CEDED71" w:rsidR="006B1E04" w:rsidRPr="004E2B72" w:rsidRDefault="006B1E04" w:rsidP="00A16C06">
      <w:pPr>
        <w:pStyle w:val="Zkladntext"/>
        <w:jc w:val="both"/>
        <w:rPr>
          <w:rFonts w:cs="Arial"/>
        </w:rPr>
      </w:pPr>
      <w:r w:rsidRPr="004E2B72">
        <w:rPr>
          <w:rFonts w:cs="Arial"/>
        </w:rPr>
        <w:t>Přínosem tohoto způsobu uvažování je zejména:</w:t>
      </w:r>
    </w:p>
    <w:p w14:paraId="2177B98A" w14:textId="6CF68401" w:rsidR="006B1E04" w:rsidRPr="004E2B72" w:rsidRDefault="006B1E04" w:rsidP="00A16C06">
      <w:pPr>
        <w:pStyle w:val="Zkladntext"/>
        <w:numPr>
          <w:ilvl w:val="1"/>
          <w:numId w:val="61"/>
        </w:numPr>
        <w:tabs>
          <w:tab w:val="clear" w:pos="284"/>
          <w:tab w:val="clear" w:pos="1418"/>
        </w:tabs>
        <w:ind w:left="567" w:hanging="425"/>
        <w:jc w:val="both"/>
        <w:rPr>
          <w:rFonts w:cs="Arial"/>
        </w:rPr>
      </w:pPr>
      <w:r w:rsidRPr="004E2B72">
        <w:rPr>
          <w:rFonts w:cs="Arial"/>
        </w:rPr>
        <w:t xml:space="preserve">identifikace a vyčíslení nezbytných rozpočtových výdajů </w:t>
      </w:r>
      <w:r w:rsidR="003B36B1">
        <w:rPr>
          <w:rFonts w:cs="Arial"/>
        </w:rPr>
        <w:t>(</w:t>
      </w:r>
      <w:r w:rsidR="00F95E28">
        <w:rPr>
          <w:rFonts w:cs="Arial"/>
        </w:rPr>
        <w:t>a nákladů</w:t>
      </w:r>
      <w:r w:rsidR="003B36B1">
        <w:rPr>
          <w:rFonts w:cs="Arial"/>
        </w:rPr>
        <w:t>)</w:t>
      </w:r>
      <w:r w:rsidR="003B36B1">
        <w:rPr>
          <w:rStyle w:val="Znakapoznpodarou"/>
          <w:rFonts w:cs="Arial"/>
        </w:rPr>
        <w:footnoteReference w:id="28"/>
      </w:r>
      <w:r w:rsidR="00F95E28">
        <w:rPr>
          <w:rFonts w:cs="Arial"/>
        </w:rPr>
        <w:t xml:space="preserve"> </w:t>
      </w:r>
      <w:r w:rsidRPr="004E2B72">
        <w:rPr>
          <w:rFonts w:cs="Arial"/>
        </w:rPr>
        <w:t>na předmětné ICT řešení, bez n</w:t>
      </w:r>
      <w:r w:rsidR="00F95E28">
        <w:rPr>
          <w:rFonts w:cs="Arial"/>
        </w:rPr>
        <w:t>ichž</w:t>
      </w:r>
      <w:r w:rsidRPr="004E2B72">
        <w:rPr>
          <w:rFonts w:cs="Arial"/>
        </w:rPr>
        <w:t xml:space="preserve"> toto nepodpoří dostatečně nebo vůbec výkon jím podporovaných veřejných služeb („nepojede to“). Takovým výdajům</w:t>
      </w:r>
      <w:r w:rsidR="00F95E28">
        <w:rPr>
          <w:rFonts w:cs="Arial"/>
        </w:rPr>
        <w:t xml:space="preserve"> </w:t>
      </w:r>
      <w:r w:rsidR="003B36B1">
        <w:rPr>
          <w:rFonts w:cs="Arial"/>
        </w:rPr>
        <w:t>(</w:t>
      </w:r>
      <w:r w:rsidR="00F95E28">
        <w:rPr>
          <w:rFonts w:cs="Arial"/>
        </w:rPr>
        <w:t>a nákladům</w:t>
      </w:r>
      <w:r w:rsidR="003B36B1">
        <w:rPr>
          <w:rFonts w:cs="Arial"/>
        </w:rPr>
        <w:t>)</w:t>
      </w:r>
      <w:r w:rsidRPr="004E2B72">
        <w:rPr>
          <w:rFonts w:cs="Arial"/>
        </w:rPr>
        <w:t>, bez nichž nemůže OVM nebo celá VS fungovat</w:t>
      </w:r>
      <w:r w:rsidR="00F95E28">
        <w:rPr>
          <w:rFonts w:cs="Arial"/>
        </w:rPr>
        <w:t>,</w:t>
      </w:r>
      <w:r w:rsidRPr="004E2B72">
        <w:rPr>
          <w:rFonts w:cs="Arial"/>
        </w:rPr>
        <w:t xml:space="preserve"> si zvykáme říkat „mandatorní ICT výdaje“, využívajíc přitom zřetelnou paralelu s „mandatorními rozpočtovými výdaji“, jejichž výše přímo plyne ze závazků státu, stanovených zákony.</w:t>
      </w:r>
    </w:p>
    <w:p w14:paraId="323707D8" w14:textId="66E68B9D" w:rsidR="006B1E04" w:rsidRPr="004E2B72" w:rsidRDefault="006B1E04" w:rsidP="00A16C06">
      <w:pPr>
        <w:pStyle w:val="Zkladntext"/>
        <w:numPr>
          <w:ilvl w:val="1"/>
          <w:numId w:val="61"/>
        </w:numPr>
        <w:tabs>
          <w:tab w:val="clear" w:pos="284"/>
          <w:tab w:val="clear" w:pos="1418"/>
        </w:tabs>
        <w:ind w:left="567" w:hanging="425"/>
        <w:jc w:val="both"/>
        <w:rPr>
          <w:rFonts w:cs="Arial"/>
        </w:rPr>
      </w:pPr>
      <w:r w:rsidRPr="004E2B72">
        <w:rPr>
          <w:rFonts w:cs="Arial"/>
        </w:rPr>
        <w:t>identifikace a vyčíslení podílu předmětného řešení na výdajích ostatních rozpočtových položek, ne přímo spojovaných s ICT, jako jsou personální náklady, energie a služby, správa nemovitostí a další.</w:t>
      </w:r>
    </w:p>
    <w:p w14:paraId="315603F7" w14:textId="6C803116" w:rsidR="006B1E04" w:rsidRDefault="006B1E04" w:rsidP="00A16C06">
      <w:pPr>
        <w:pStyle w:val="Zkladntext"/>
        <w:jc w:val="both"/>
        <w:rPr>
          <w:rFonts w:cs="Arial"/>
        </w:rPr>
      </w:pPr>
      <w:r w:rsidRPr="004E2B72">
        <w:rPr>
          <w:rFonts w:cs="Arial"/>
        </w:rPr>
        <w:t>Tento způsob užití TCO je pouze ve stadiu ideového návrhu a není dopracován do úrovně pro praktické použití.</w:t>
      </w:r>
    </w:p>
    <w:tbl>
      <w:tblPr>
        <w:tblStyle w:val="Style1"/>
        <w:tblW w:w="9611" w:type="dxa"/>
        <w:tblInd w:w="-5" w:type="dxa"/>
        <w:tblLook w:val="04A0" w:firstRow="1" w:lastRow="0" w:firstColumn="1" w:lastColumn="0" w:noHBand="0" w:noVBand="1"/>
      </w:tblPr>
      <w:tblGrid>
        <w:gridCol w:w="8193"/>
        <w:gridCol w:w="1418"/>
      </w:tblGrid>
      <w:tr w:rsidR="0081769B" w:rsidRPr="004E2B72" w14:paraId="5BDFA96E" w14:textId="77777777" w:rsidTr="004F133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93" w:type="dxa"/>
          </w:tcPr>
          <w:p w14:paraId="4247EEA9" w14:textId="77777777" w:rsidR="0081769B" w:rsidRPr="004E2B72" w:rsidRDefault="0081769B" w:rsidP="004F1337">
            <w:pPr>
              <w:spacing w:after="0"/>
              <w:jc w:val="both"/>
              <w:rPr>
                <w:rFonts w:cs="Arial"/>
              </w:rPr>
            </w:pPr>
            <w:r w:rsidRPr="004E2B72">
              <w:rPr>
                <w:rFonts w:cs="Arial"/>
              </w:rPr>
              <w:t>Souhrnná položka modelu TCO  - nákladová kategorie</w:t>
            </w:r>
          </w:p>
          <w:p w14:paraId="5C9B9538" w14:textId="77777777" w:rsidR="0081769B" w:rsidRPr="004E2B72" w:rsidRDefault="0081769B" w:rsidP="004F1337">
            <w:pPr>
              <w:spacing w:after="0"/>
              <w:jc w:val="both"/>
              <w:rPr>
                <w:rFonts w:cs="Arial"/>
              </w:rPr>
            </w:pPr>
            <w:r w:rsidRPr="004E2B72">
              <w:rPr>
                <w:rFonts w:cs="Arial"/>
              </w:rPr>
              <w:t>(5 let)</w:t>
            </w:r>
          </w:p>
        </w:tc>
        <w:tc>
          <w:tcPr>
            <w:tcW w:w="1418" w:type="dxa"/>
          </w:tcPr>
          <w:p w14:paraId="57B87EA7" w14:textId="77777777" w:rsidR="0081769B" w:rsidRPr="004E2B72" w:rsidRDefault="0081769B" w:rsidP="004F1337">
            <w:pPr>
              <w:spacing w:after="0"/>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cs="Arial"/>
              </w:rPr>
              <w:t>Relevance pro šetření</w:t>
            </w:r>
          </w:p>
        </w:tc>
      </w:tr>
      <w:tr w:rsidR="0081769B" w:rsidRPr="004E2B72" w14:paraId="3167440C"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2E73B5DB" w14:textId="77777777" w:rsidR="0081769B" w:rsidRPr="004E2B72" w:rsidRDefault="0081769B" w:rsidP="004F1337">
            <w:pPr>
              <w:spacing w:after="0"/>
              <w:jc w:val="both"/>
              <w:rPr>
                <w:rFonts w:cs="Arial"/>
                <w:b w:val="0"/>
              </w:rPr>
            </w:pPr>
            <w:r w:rsidRPr="004E2B72">
              <w:rPr>
                <w:rFonts w:cs="Arial"/>
              </w:rPr>
              <w:t xml:space="preserve">A. Plánování, analýzy, tvorba zadání, výběr řešení a dodavatele – náklady nákupního procesu </w:t>
            </w:r>
          </w:p>
        </w:tc>
        <w:tc>
          <w:tcPr>
            <w:tcW w:w="1418" w:type="dxa"/>
            <w:shd w:val="clear" w:color="auto" w:fill="00B050"/>
          </w:tcPr>
          <w:p w14:paraId="281464AF"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35A730F7"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61AA5C38" w14:textId="77777777" w:rsidR="0081769B" w:rsidRPr="004E2B72" w:rsidRDefault="0081769B" w:rsidP="004F1337">
            <w:pPr>
              <w:spacing w:after="0"/>
              <w:jc w:val="both"/>
              <w:rPr>
                <w:rFonts w:cs="Arial"/>
                <w:b w:val="0"/>
              </w:rPr>
            </w:pPr>
            <w:r w:rsidRPr="004E2B72">
              <w:rPr>
                <w:rFonts w:cs="Arial"/>
              </w:rPr>
              <w:t>B. Nákup SW a HW pro projekt (ne v případě Cloud)</w:t>
            </w:r>
          </w:p>
        </w:tc>
        <w:tc>
          <w:tcPr>
            <w:tcW w:w="1418" w:type="dxa"/>
            <w:shd w:val="clear" w:color="auto" w:fill="00B050"/>
          </w:tcPr>
          <w:p w14:paraId="5FA0C4B5"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46C1F8B1"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6A0E4C12" w14:textId="77777777" w:rsidR="0081769B" w:rsidRPr="004E2B72" w:rsidRDefault="0081769B" w:rsidP="004F1337">
            <w:pPr>
              <w:spacing w:after="0"/>
              <w:jc w:val="both"/>
              <w:rPr>
                <w:rFonts w:cs="Arial"/>
                <w:b w:val="0"/>
                <w:bCs w:val="0"/>
              </w:rPr>
            </w:pPr>
            <w:r w:rsidRPr="004E2B72">
              <w:rPr>
                <w:rFonts w:cs="Arial"/>
              </w:rPr>
              <w:t xml:space="preserve">C. Analýza, vývoj, implementace, integrace a zkušební provoz </w:t>
            </w:r>
          </w:p>
        </w:tc>
        <w:tc>
          <w:tcPr>
            <w:tcW w:w="1418" w:type="dxa"/>
            <w:shd w:val="clear" w:color="auto" w:fill="00B050"/>
          </w:tcPr>
          <w:p w14:paraId="41892E4C"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30CFC30B"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1A6E8B66" w14:textId="77777777" w:rsidR="0081769B" w:rsidRPr="004E2B72" w:rsidRDefault="0081769B" w:rsidP="004F1337">
            <w:pPr>
              <w:spacing w:after="0"/>
              <w:jc w:val="both"/>
              <w:rPr>
                <w:rFonts w:cs="Arial"/>
                <w:b w:val="0"/>
                <w:bCs w:val="0"/>
              </w:rPr>
            </w:pPr>
            <w:r w:rsidRPr="004E2B72">
              <w:rPr>
                <w:rFonts w:cs="Arial"/>
              </w:rPr>
              <w:t>D. Provoz a podpora řešení (ne v případě Cloud)</w:t>
            </w:r>
          </w:p>
        </w:tc>
        <w:tc>
          <w:tcPr>
            <w:tcW w:w="1418" w:type="dxa"/>
            <w:shd w:val="clear" w:color="auto" w:fill="00B050"/>
          </w:tcPr>
          <w:p w14:paraId="1DE68D84"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70FCC949"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2D7A386A" w14:textId="77777777" w:rsidR="0081769B" w:rsidRPr="004E2B72" w:rsidRDefault="0081769B" w:rsidP="004F1337">
            <w:pPr>
              <w:spacing w:after="0"/>
              <w:jc w:val="both"/>
              <w:rPr>
                <w:rFonts w:cs="Arial"/>
                <w:b w:val="0"/>
                <w:bCs w:val="0"/>
              </w:rPr>
            </w:pPr>
            <w:r w:rsidRPr="004E2B72">
              <w:rPr>
                <w:rFonts w:cs="Arial"/>
              </w:rPr>
              <w:t>E. Údržba, opravy a průběžné úpravy (ne v případě Cloud)</w:t>
            </w:r>
          </w:p>
        </w:tc>
        <w:tc>
          <w:tcPr>
            <w:tcW w:w="1418" w:type="dxa"/>
            <w:shd w:val="clear" w:color="auto" w:fill="00B050"/>
          </w:tcPr>
          <w:p w14:paraId="44D315EC"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58AF24D9"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2CC2EB75" w14:textId="77777777" w:rsidR="0081769B" w:rsidRPr="004E2B72" w:rsidRDefault="0081769B" w:rsidP="004F1337">
            <w:pPr>
              <w:spacing w:after="0"/>
              <w:jc w:val="both"/>
              <w:rPr>
                <w:rFonts w:cs="Arial"/>
                <w:b w:val="0"/>
                <w:bCs w:val="0"/>
              </w:rPr>
            </w:pPr>
            <w:r w:rsidRPr="004E2B72">
              <w:rPr>
                <w:rFonts w:cs="Arial"/>
              </w:rPr>
              <w:t>F. Projekty postupné inovace a zlepšování (pokud jsou očekávány)</w:t>
            </w:r>
          </w:p>
        </w:tc>
        <w:tc>
          <w:tcPr>
            <w:tcW w:w="1418" w:type="dxa"/>
            <w:shd w:val="clear" w:color="auto" w:fill="00B050"/>
          </w:tcPr>
          <w:p w14:paraId="4CCFBDBF"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45932DD4"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52257837" w14:textId="77777777" w:rsidR="0081769B" w:rsidRPr="004E2B72" w:rsidRDefault="0081769B" w:rsidP="004F1337">
            <w:pPr>
              <w:spacing w:after="0"/>
              <w:jc w:val="both"/>
              <w:rPr>
                <w:rFonts w:cs="Arial"/>
                <w:b w:val="0"/>
                <w:bCs w:val="0"/>
              </w:rPr>
            </w:pPr>
            <w:r w:rsidRPr="004E2B72">
              <w:rPr>
                <w:rFonts w:cs="Arial"/>
              </w:rPr>
              <w:t>G. Projekty upgrade (pokud jsou očekávány)</w:t>
            </w:r>
          </w:p>
        </w:tc>
        <w:tc>
          <w:tcPr>
            <w:tcW w:w="1418" w:type="dxa"/>
            <w:shd w:val="clear" w:color="auto" w:fill="00B050"/>
          </w:tcPr>
          <w:p w14:paraId="0281B897"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78273D9C"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3A5207F8" w14:textId="77777777" w:rsidR="0081769B" w:rsidRPr="004E2B72" w:rsidRDefault="0081769B" w:rsidP="004F1337">
            <w:pPr>
              <w:spacing w:after="0"/>
              <w:jc w:val="both"/>
              <w:rPr>
                <w:rFonts w:cs="Arial"/>
                <w:b w:val="0"/>
                <w:bCs w:val="0"/>
              </w:rPr>
            </w:pPr>
            <w:r w:rsidRPr="004E2B72">
              <w:rPr>
                <w:rFonts w:cs="Arial"/>
              </w:rPr>
              <w:t>H. Zvýšené náklady užívání řešení (pokud se mohou vyskytnout)</w:t>
            </w:r>
          </w:p>
        </w:tc>
        <w:tc>
          <w:tcPr>
            <w:tcW w:w="1418" w:type="dxa"/>
            <w:shd w:val="clear" w:color="auto" w:fill="C00000"/>
          </w:tcPr>
          <w:p w14:paraId="7808796D"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4E2AFFAE" w14:textId="77777777" w:rsidTr="00C80226">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147382FC" w14:textId="77777777" w:rsidR="0081769B" w:rsidRPr="004E2B72" w:rsidRDefault="0081769B" w:rsidP="004F1337">
            <w:pPr>
              <w:spacing w:after="0"/>
              <w:jc w:val="both"/>
              <w:rPr>
                <w:rFonts w:cs="Arial"/>
                <w:b w:val="0"/>
              </w:rPr>
            </w:pPr>
            <w:r w:rsidRPr="004E2B72">
              <w:rPr>
                <w:rFonts w:cs="Arial"/>
              </w:rPr>
              <w:t xml:space="preserve">I. Útlum, konzervace a ukončení řešení (použije </w:t>
            </w:r>
            <w:r w:rsidRPr="000A2282">
              <w:rPr>
                <w:rFonts w:cs="Arial"/>
              </w:rPr>
              <w:t xml:space="preserve">se </w:t>
            </w:r>
            <w:r w:rsidRPr="004E2B72">
              <w:rPr>
                <w:rFonts w:cs="Arial"/>
              </w:rPr>
              <w:t>na nahrazované řešení)</w:t>
            </w:r>
          </w:p>
        </w:tc>
        <w:tc>
          <w:tcPr>
            <w:tcW w:w="0" w:type="dxa"/>
            <w:shd w:val="clear" w:color="auto" w:fill="00B050"/>
          </w:tcPr>
          <w:p w14:paraId="2E74B405"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3DB3E55B"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629F8436" w14:textId="77777777" w:rsidR="0081769B" w:rsidRPr="004E2B72" w:rsidRDefault="0081769B" w:rsidP="004F1337">
            <w:pPr>
              <w:spacing w:after="0"/>
              <w:jc w:val="both"/>
              <w:rPr>
                <w:rFonts w:cs="Arial"/>
                <w:b w:val="0"/>
                <w:bCs w:val="0"/>
              </w:rPr>
            </w:pPr>
            <w:r w:rsidRPr="004E2B72">
              <w:rPr>
                <w:rFonts w:cs="Arial"/>
              </w:rPr>
              <w:t>X. Poplatky za řešení jako služba (pouze Cloud)</w:t>
            </w:r>
          </w:p>
        </w:tc>
        <w:tc>
          <w:tcPr>
            <w:tcW w:w="1418" w:type="dxa"/>
            <w:shd w:val="clear" w:color="auto" w:fill="00B050"/>
          </w:tcPr>
          <w:p w14:paraId="1C9FE8D5"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5F9691D2" w14:textId="77777777" w:rsidTr="00C80226">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3972B3D1" w14:textId="77777777" w:rsidR="0081769B" w:rsidRPr="004E2B72" w:rsidRDefault="0081769B" w:rsidP="004F1337">
            <w:pPr>
              <w:spacing w:after="0"/>
              <w:jc w:val="both"/>
              <w:rPr>
                <w:rFonts w:cs="Arial"/>
                <w:b w:val="0"/>
              </w:rPr>
            </w:pPr>
            <w:r w:rsidRPr="004E2B72">
              <w:rPr>
                <w:rFonts w:cs="Arial"/>
              </w:rPr>
              <w:t>Z. Ostatní, k fázi životního cyklu nepřiřaditelné (režijní) náklady</w:t>
            </w:r>
          </w:p>
        </w:tc>
        <w:tc>
          <w:tcPr>
            <w:tcW w:w="1418" w:type="dxa"/>
            <w:shd w:val="clear" w:color="auto" w:fill="00B050"/>
          </w:tcPr>
          <w:p w14:paraId="00693804"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364667B7"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2E65111D" w14:textId="77777777" w:rsidR="0081769B" w:rsidRPr="004E2B72" w:rsidRDefault="0081769B" w:rsidP="004F1337">
            <w:pPr>
              <w:spacing w:after="0"/>
              <w:jc w:val="both"/>
              <w:rPr>
                <w:rFonts w:cs="Arial"/>
              </w:rPr>
            </w:pPr>
            <w:r w:rsidRPr="004E2B72">
              <w:rPr>
                <w:rFonts w:cs="Arial"/>
              </w:rPr>
              <w:t>Celkové TCO projektu (5let)</w:t>
            </w:r>
          </w:p>
        </w:tc>
        <w:tc>
          <w:tcPr>
            <w:tcW w:w="1418" w:type="dxa"/>
          </w:tcPr>
          <w:p w14:paraId="764E5601"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r>
    </w:tbl>
    <w:p w14:paraId="0CE80EA2" w14:textId="77777777" w:rsidR="0081769B" w:rsidRPr="004E2B72" w:rsidRDefault="0081769B" w:rsidP="00A16C06">
      <w:pPr>
        <w:pStyle w:val="Zkladntext"/>
        <w:jc w:val="both"/>
        <w:rPr>
          <w:rFonts w:cs="Arial"/>
        </w:rPr>
      </w:pPr>
    </w:p>
    <w:p w14:paraId="140BABEB" w14:textId="4C70A70F" w:rsidR="00F63B0C" w:rsidRPr="004E2B72" w:rsidRDefault="00F63B0C" w:rsidP="00A16C06">
      <w:pPr>
        <w:pStyle w:val="Nadpis2"/>
        <w:jc w:val="both"/>
        <w:rPr>
          <w:rFonts w:cs="Arial"/>
        </w:rPr>
      </w:pPr>
      <w:bookmarkStart w:id="48" w:name="_Toc120784693"/>
      <w:r w:rsidRPr="004E2B72">
        <w:rPr>
          <w:rFonts w:cs="Arial"/>
        </w:rPr>
        <w:t>Výběr dodavatele podle TCO</w:t>
      </w:r>
      <w:bookmarkEnd w:id="48"/>
    </w:p>
    <w:p w14:paraId="18C5D320" w14:textId="42699C08" w:rsidR="00F63B0C" w:rsidRPr="004E2B72" w:rsidRDefault="00F63B0C" w:rsidP="00A16C06">
      <w:pPr>
        <w:pStyle w:val="Zkladntext"/>
        <w:jc w:val="both"/>
        <w:rPr>
          <w:rFonts w:cs="Arial"/>
        </w:rPr>
      </w:pPr>
      <w:r w:rsidRPr="004E2B72">
        <w:rPr>
          <w:rFonts w:cs="Arial"/>
        </w:rPr>
        <w:t>Pokročilou technikou využívající ukazatel TCO je jeho uplatnění při vyhodnocování veřejných zakázek pro výběr dodavatele řešení nebo ICT služeb.</w:t>
      </w:r>
    </w:p>
    <w:p w14:paraId="6893B6F2" w14:textId="12D97937" w:rsidR="00F63B0C" w:rsidRPr="004E2B72" w:rsidRDefault="00F63B0C" w:rsidP="00A16C06">
      <w:pPr>
        <w:pStyle w:val="Zkladntext"/>
        <w:jc w:val="both"/>
        <w:rPr>
          <w:rFonts w:cs="Arial"/>
        </w:rPr>
      </w:pPr>
      <w:r w:rsidRPr="004E2B72">
        <w:rPr>
          <w:rFonts w:cs="Arial"/>
        </w:rPr>
        <w:t>Podstata spočívá v tom, že u zakázky není vyhodnocována pouze „cena“, tj. závazek budoucí fakturace a platby externích výdajů za zboží a služby dodavatele, nýbrž i prokazatelný (nabídnutý a měřitelný) vliv zboží a služeb dodavatele na s předmětným řešením související externí výdaje a další interní náklady.</w:t>
      </w:r>
    </w:p>
    <w:p w14:paraId="3C0BF7FD" w14:textId="1F42F7D4" w:rsidR="00F63B0C" w:rsidRDefault="00F63B0C" w:rsidP="00A16C06">
      <w:pPr>
        <w:pStyle w:val="Zkladntext"/>
        <w:jc w:val="both"/>
        <w:rPr>
          <w:rFonts w:cs="Arial"/>
        </w:rPr>
      </w:pPr>
      <w:r w:rsidRPr="004E2B72">
        <w:rPr>
          <w:rFonts w:cs="Arial"/>
        </w:rPr>
        <w:t>Tento způsob užití TCO je pouze ve stadiu ideového návrhu a není dopracován do úrovně pro praktické použití.</w:t>
      </w:r>
    </w:p>
    <w:p w14:paraId="672A318B" w14:textId="348C137A" w:rsidR="0081769B" w:rsidRDefault="0081769B" w:rsidP="00A16C06">
      <w:pPr>
        <w:pStyle w:val="Zkladntext"/>
        <w:jc w:val="both"/>
        <w:rPr>
          <w:rFonts w:cs="Arial"/>
        </w:rPr>
      </w:pPr>
    </w:p>
    <w:tbl>
      <w:tblPr>
        <w:tblStyle w:val="Style1"/>
        <w:tblW w:w="9611" w:type="dxa"/>
        <w:tblInd w:w="-5" w:type="dxa"/>
        <w:tblLook w:val="04A0" w:firstRow="1" w:lastRow="0" w:firstColumn="1" w:lastColumn="0" w:noHBand="0" w:noVBand="1"/>
      </w:tblPr>
      <w:tblGrid>
        <w:gridCol w:w="8193"/>
        <w:gridCol w:w="1418"/>
      </w:tblGrid>
      <w:tr w:rsidR="0081769B" w:rsidRPr="004E2B72" w14:paraId="20433B70" w14:textId="77777777" w:rsidTr="004F133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93" w:type="dxa"/>
          </w:tcPr>
          <w:p w14:paraId="38C2CB32" w14:textId="77777777" w:rsidR="0081769B" w:rsidRPr="004E2B72" w:rsidRDefault="0081769B" w:rsidP="004F1337">
            <w:pPr>
              <w:spacing w:after="0"/>
              <w:jc w:val="both"/>
              <w:rPr>
                <w:rFonts w:cs="Arial"/>
              </w:rPr>
            </w:pPr>
            <w:r w:rsidRPr="004E2B72">
              <w:rPr>
                <w:rFonts w:cs="Arial"/>
              </w:rPr>
              <w:t>Souhrnná položka modelu TCO  - nákladová kategorie</w:t>
            </w:r>
          </w:p>
          <w:p w14:paraId="23FA0D90" w14:textId="77777777" w:rsidR="0081769B" w:rsidRPr="004E2B72" w:rsidRDefault="0081769B" w:rsidP="004F1337">
            <w:pPr>
              <w:spacing w:after="0"/>
              <w:jc w:val="both"/>
              <w:rPr>
                <w:rFonts w:cs="Arial"/>
              </w:rPr>
            </w:pPr>
            <w:r w:rsidRPr="004E2B72">
              <w:rPr>
                <w:rFonts w:cs="Arial"/>
              </w:rPr>
              <w:t>(5 let)</w:t>
            </w:r>
          </w:p>
        </w:tc>
        <w:tc>
          <w:tcPr>
            <w:tcW w:w="1418" w:type="dxa"/>
          </w:tcPr>
          <w:p w14:paraId="4AE72354" w14:textId="77777777" w:rsidR="0081769B" w:rsidRPr="004E2B72" w:rsidRDefault="0081769B" w:rsidP="004F1337">
            <w:pPr>
              <w:spacing w:after="0"/>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cs="Arial"/>
              </w:rPr>
              <w:t>Relevance pro šetření</w:t>
            </w:r>
          </w:p>
        </w:tc>
      </w:tr>
      <w:tr w:rsidR="0081769B" w:rsidRPr="004E2B72" w14:paraId="16210EB9"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4E4BFD12" w14:textId="77777777" w:rsidR="0081769B" w:rsidRPr="004E2B72" w:rsidRDefault="0081769B" w:rsidP="004F1337">
            <w:pPr>
              <w:spacing w:after="0"/>
              <w:jc w:val="both"/>
              <w:rPr>
                <w:rFonts w:cs="Arial"/>
                <w:b w:val="0"/>
              </w:rPr>
            </w:pPr>
            <w:r w:rsidRPr="004E2B72">
              <w:rPr>
                <w:rFonts w:cs="Arial"/>
              </w:rPr>
              <w:t xml:space="preserve">A. Plánování, analýzy, tvorba zadání, výběr řešení a dodavatele – náklady nákupního procesu </w:t>
            </w:r>
          </w:p>
        </w:tc>
        <w:tc>
          <w:tcPr>
            <w:tcW w:w="1418" w:type="dxa"/>
            <w:shd w:val="clear" w:color="auto" w:fill="00B050"/>
          </w:tcPr>
          <w:p w14:paraId="54387D05"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325BF987"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0D3E83E3" w14:textId="77777777" w:rsidR="0081769B" w:rsidRPr="004E2B72" w:rsidRDefault="0081769B" w:rsidP="004F1337">
            <w:pPr>
              <w:spacing w:after="0"/>
              <w:jc w:val="both"/>
              <w:rPr>
                <w:rFonts w:cs="Arial"/>
                <w:b w:val="0"/>
              </w:rPr>
            </w:pPr>
            <w:r w:rsidRPr="004E2B72">
              <w:rPr>
                <w:rFonts w:cs="Arial"/>
              </w:rPr>
              <w:t>B. Nákup SW a HW pro projekt (ne v případě Cloud)</w:t>
            </w:r>
          </w:p>
        </w:tc>
        <w:tc>
          <w:tcPr>
            <w:tcW w:w="1418" w:type="dxa"/>
            <w:shd w:val="clear" w:color="auto" w:fill="00B050"/>
          </w:tcPr>
          <w:p w14:paraId="3256432E"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5089A385"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0D808444" w14:textId="77777777" w:rsidR="0081769B" w:rsidRPr="004E2B72" w:rsidRDefault="0081769B" w:rsidP="004F1337">
            <w:pPr>
              <w:spacing w:after="0"/>
              <w:jc w:val="both"/>
              <w:rPr>
                <w:rFonts w:cs="Arial"/>
                <w:b w:val="0"/>
                <w:bCs w:val="0"/>
              </w:rPr>
            </w:pPr>
            <w:r w:rsidRPr="004E2B72">
              <w:rPr>
                <w:rFonts w:cs="Arial"/>
              </w:rPr>
              <w:t xml:space="preserve">C. Analýza, vývoj, implementace, integrace a zkušební provoz </w:t>
            </w:r>
          </w:p>
        </w:tc>
        <w:tc>
          <w:tcPr>
            <w:tcW w:w="1418" w:type="dxa"/>
            <w:shd w:val="clear" w:color="auto" w:fill="00B050"/>
          </w:tcPr>
          <w:p w14:paraId="165EDE7A"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2643F940"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4B52FDCE" w14:textId="77777777" w:rsidR="0081769B" w:rsidRPr="004E2B72" w:rsidRDefault="0081769B" w:rsidP="004F1337">
            <w:pPr>
              <w:spacing w:after="0"/>
              <w:jc w:val="both"/>
              <w:rPr>
                <w:rFonts w:cs="Arial"/>
                <w:b w:val="0"/>
                <w:bCs w:val="0"/>
              </w:rPr>
            </w:pPr>
            <w:r w:rsidRPr="004E2B72">
              <w:rPr>
                <w:rFonts w:cs="Arial"/>
              </w:rPr>
              <w:t>D. Provoz a podpora řešení (ne v případě Cloud)</w:t>
            </w:r>
          </w:p>
        </w:tc>
        <w:tc>
          <w:tcPr>
            <w:tcW w:w="1418" w:type="dxa"/>
            <w:shd w:val="clear" w:color="auto" w:fill="00B050"/>
          </w:tcPr>
          <w:p w14:paraId="49DFB588"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0A92D8B9"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18BDD3BC" w14:textId="77777777" w:rsidR="0081769B" w:rsidRPr="004E2B72" w:rsidRDefault="0081769B" w:rsidP="004F1337">
            <w:pPr>
              <w:spacing w:after="0"/>
              <w:jc w:val="both"/>
              <w:rPr>
                <w:rFonts w:cs="Arial"/>
                <w:b w:val="0"/>
                <w:bCs w:val="0"/>
              </w:rPr>
            </w:pPr>
            <w:r w:rsidRPr="004E2B72">
              <w:rPr>
                <w:rFonts w:cs="Arial"/>
              </w:rPr>
              <w:t>E. Údržba, opravy a průběžné úpravy (ne v případě Cloud)</w:t>
            </w:r>
          </w:p>
        </w:tc>
        <w:tc>
          <w:tcPr>
            <w:tcW w:w="1418" w:type="dxa"/>
            <w:shd w:val="clear" w:color="auto" w:fill="00B050"/>
          </w:tcPr>
          <w:p w14:paraId="457091B6"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2AE6D439"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3E90F05F" w14:textId="77777777" w:rsidR="0081769B" w:rsidRPr="004E2B72" w:rsidRDefault="0081769B" w:rsidP="004F1337">
            <w:pPr>
              <w:spacing w:after="0"/>
              <w:jc w:val="both"/>
              <w:rPr>
                <w:rFonts w:cs="Arial"/>
                <w:b w:val="0"/>
                <w:bCs w:val="0"/>
              </w:rPr>
            </w:pPr>
            <w:r w:rsidRPr="004E2B72">
              <w:rPr>
                <w:rFonts w:cs="Arial"/>
              </w:rPr>
              <w:t>F. Projekty postupné inovace a zlepšování (pokud jsou očekávány)</w:t>
            </w:r>
          </w:p>
        </w:tc>
        <w:tc>
          <w:tcPr>
            <w:tcW w:w="1418" w:type="dxa"/>
            <w:shd w:val="clear" w:color="auto" w:fill="00B050"/>
          </w:tcPr>
          <w:p w14:paraId="59624B12"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2DB2F47F"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74684AA6" w14:textId="77777777" w:rsidR="0081769B" w:rsidRPr="004E2B72" w:rsidRDefault="0081769B" w:rsidP="004F1337">
            <w:pPr>
              <w:spacing w:after="0"/>
              <w:jc w:val="both"/>
              <w:rPr>
                <w:rFonts w:cs="Arial"/>
                <w:b w:val="0"/>
                <w:bCs w:val="0"/>
              </w:rPr>
            </w:pPr>
            <w:r w:rsidRPr="004E2B72">
              <w:rPr>
                <w:rFonts w:cs="Arial"/>
              </w:rPr>
              <w:t>G. Projekty upgrade (pokud jsou očekávány)</w:t>
            </w:r>
          </w:p>
        </w:tc>
        <w:tc>
          <w:tcPr>
            <w:tcW w:w="1418" w:type="dxa"/>
            <w:shd w:val="clear" w:color="auto" w:fill="00B050"/>
          </w:tcPr>
          <w:p w14:paraId="6004A821"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15DD9726"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455A854D" w14:textId="77777777" w:rsidR="0081769B" w:rsidRPr="004E2B72" w:rsidRDefault="0081769B" w:rsidP="004F1337">
            <w:pPr>
              <w:spacing w:after="0"/>
              <w:jc w:val="both"/>
              <w:rPr>
                <w:rFonts w:cs="Arial"/>
                <w:b w:val="0"/>
                <w:bCs w:val="0"/>
              </w:rPr>
            </w:pPr>
            <w:r w:rsidRPr="004E2B72">
              <w:rPr>
                <w:rFonts w:cs="Arial"/>
              </w:rPr>
              <w:t>H. Zvýšené náklady užívání řešení (pokud se mohou vyskytnout)</w:t>
            </w:r>
          </w:p>
        </w:tc>
        <w:tc>
          <w:tcPr>
            <w:tcW w:w="1418" w:type="dxa"/>
            <w:shd w:val="clear" w:color="auto" w:fill="C00000"/>
          </w:tcPr>
          <w:p w14:paraId="3CB8BAA8"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0AE13B72"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70FC57A8" w14:textId="77777777" w:rsidR="0081769B" w:rsidRPr="004E2B72" w:rsidRDefault="0081769B" w:rsidP="004F1337">
            <w:pPr>
              <w:spacing w:after="0"/>
              <w:jc w:val="both"/>
              <w:rPr>
                <w:rFonts w:cs="Arial"/>
                <w:b w:val="0"/>
              </w:rPr>
            </w:pPr>
            <w:r w:rsidRPr="004E2B72">
              <w:rPr>
                <w:rFonts w:cs="Arial"/>
              </w:rPr>
              <w:t xml:space="preserve">I. Útlum, konzervace a ukončení řešení (použije </w:t>
            </w:r>
            <w:r w:rsidRPr="000A2282">
              <w:rPr>
                <w:rFonts w:cs="Arial"/>
              </w:rPr>
              <w:t xml:space="preserve">se </w:t>
            </w:r>
            <w:r w:rsidRPr="004E2B72">
              <w:rPr>
                <w:rFonts w:cs="Arial"/>
              </w:rPr>
              <w:t>na nahrazované řešení)</w:t>
            </w:r>
          </w:p>
        </w:tc>
        <w:tc>
          <w:tcPr>
            <w:tcW w:w="0" w:type="dxa"/>
            <w:shd w:val="clear" w:color="auto" w:fill="FFFF00"/>
          </w:tcPr>
          <w:p w14:paraId="1BBBB37B"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724282F3"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7DB23C02" w14:textId="77777777" w:rsidR="0081769B" w:rsidRPr="004E2B72" w:rsidRDefault="0081769B" w:rsidP="004F1337">
            <w:pPr>
              <w:spacing w:after="0"/>
              <w:jc w:val="both"/>
              <w:rPr>
                <w:rFonts w:cs="Arial"/>
                <w:b w:val="0"/>
                <w:bCs w:val="0"/>
              </w:rPr>
            </w:pPr>
            <w:r w:rsidRPr="004E2B72">
              <w:rPr>
                <w:rFonts w:cs="Arial"/>
              </w:rPr>
              <w:t>X. Poplatky za řešení jako služba (pouze Cloud)</w:t>
            </w:r>
          </w:p>
        </w:tc>
        <w:tc>
          <w:tcPr>
            <w:tcW w:w="1418" w:type="dxa"/>
            <w:shd w:val="clear" w:color="auto" w:fill="00B050"/>
          </w:tcPr>
          <w:p w14:paraId="39B51063"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0EA1D338"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7CA68E13" w14:textId="77777777" w:rsidR="0081769B" w:rsidRPr="004E2B72" w:rsidRDefault="0081769B" w:rsidP="004F1337">
            <w:pPr>
              <w:spacing w:after="0"/>
              <w:jc w:val="both"/>
              <w:rPr>
                <w:rFonts w:cs="Arial"/>
                <w:b w:val="0"/>
              </w:rPr>
            </w:pPr>
            <w:r w:rsidRPr="004E2B72">
              <w:rPr>
                <w:rFonts w:cs="Arial"/>
              </w:rPr>
              <w:t>Z. Ostatní, k fázi životního cyklu nepřiřaditelné (režijní) náklady</w:t>
            </w:r>
          </w:p>
        </w:tc>
        <w:tc>
          <w:tcPr>
            <w:tcW w:w="1418" w:type="dxa"/>
            <w:shd w:val="clear" w:color="auto" w:fill="C00000"/>
          </w:tcPr>
          <w:p w14:paraId="1CA55B07"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81769B" w:rsidRPr="004E2B72" w14:paraId="1EE2BA21" w14:textId="77777777" w:rsidTr="004F1337">
        <w:trPr>
          <w:trHeight w:val="20"/>
        </w:trPr>
        <w:tc>
          <w:tcPr>
            <w:cnfStyle w:val="001000000000" w:firstRow="0" w:lastRow="0" w:firstColumn="1" w:lastColumn="0" w:oddVBand="0" w:evenVBand="0" w:oddHBand="0" w:evenHBand="0" w:firstRowFirstColumn="0" w:firstRowLastColumn="0" w:lastRowFirstColumn="0" w:lastRowLastColumn="0"/>
            <w:tcW w:w="8193" w:type="dxa"/>
          </w:tcPr>
          <w:p w14:paraId="7130BD3E" w14:textId="77777777" w:rsidR="0081769B" w:rsidRPr="004E2B72" w:rsidRDefault="0081769B" w:rsidP="004F1337">
            <w:pPr>
              <w:spacing w:after="0"/>
              <w:jc w:val="both"/>
              <w:rPr>
                <w:rFonts w:cs="Arial"/>
              </w:rPr>
            </w:pPr>
            <w:r w:rsidRPr="004E2B72">
              <w:rPr>
                <w:rFonts w:cs="Arial"/>
              </w:rPr>
              <w:t>Celkové TCO projektu (5let)</w:t>
            </w:r>
          </w:p>
        </w:tc>
        <w:tc>
          <w:tcPr>
            <w:tcW w:w="1418" w:type="dxa"/>
          </w:tcPr>
          <w:p w14:paraId="75D8F2AC" w14:textId="77777777" w:rsidR="0081769B" w:rsidRPr="004E2B72" w:rsidRDefault="0081769B" w:rsidP="004F1337">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r>
    </w:tbl>
    <w:p w14:paraId="7CD3F753" w14:textId="55566B77" w:rsidR="0081769B" w:rsidRDefault="0081769B" w:rsidP="00A16C06">
      <w:pPr>
        <w:pStyle w:val="Zkladntext"/>
        <w:jc w:val="both"/>
        <w:rPr>
          <w:rFonts w:cs="Arial"/>
        </w:rPr>
      </w:pPr>
    </w:p>
    <w:p w14:paraId="071F73AD" w14:textId="786505AA" w:rsidR="0081769B" w:rsidRDefault="0081769B" w:rsidP="00A16C06">
      <w:pPr>
        <w:pStyle w:val="Zkladntext"/>
        <w:jc w:val="both"/>
        <w:rPr>
          <w:rFonts w:cs="Arial"/>
        </w:rPr>
      </w:pPr>
      <w:r>
        <w:rPr>
          <w:rFonts w:cs="Arial"/>
        </w:rPr>
        <w:t>Kategorie I. Útlum je i v tomto způsobu užití zajímavá 2x, a proto je vyznačená žlutě. A to jednak pro vyhodnocení nabídky dodavatelů, za jaké ceny zvládnou převzít údaje z předchozího řešení a součinit přitom s jeho dodavatelem.</w:t>
      </w:r>
    </w:p>
    <w:p w14:paraId="6F65A226" w14:textId="591C8B0B" w:rsidR="0081769B" w:rsidRDefault="0081769B" w:rsidP="00A16C06">
      <w:pPr>
        <w:pStyle w:val="Zkladntext"/>
        <w:jc w:val="both"/>
        <w:rPr>
          <w:rFonts w:cs="Arial"/>
        </w:rPr>
      </w:pPr>
      <w:r>
        <w:rPr>
          <w:rFonts w:cs="Arial"/>
        </w:rPr>
        <w:t>Možná ještě podstatnější je vliv architektury nabízeného řešení na budoucí cenu útlumu a migrace, protože tuto náročnost lze ještě ve veřejné zakázce ovlivnit. Protože „migrovatelnost“ řešení (i bez součinnosti s tímto aktuálně nabízejícím dodavatelem je jedním z častých problém ISVS, musí být i nacenění budoucího ukončení života v nabídkách obsaženo.</w:t>
      </w:r>
    </w:p>
    <w:p w14:paraId="40B74D98" w14:textId="3A53C6A0" w:rsidR="000E431A" w:rsidRDefault="000E431A" w:rsidP="00C80226">
      <w:pPr>
        <w:pStyle w:val="Nadpis2"/>
        <w:jc w:val="both"/>
        <w:rPr>
          <w:rFonts w:cs="Arial"/>
          <w:szCs w:val="22"/>
        </w:rPr>
      </w:pPr>
      <w:bookmarkStart w:id="49" w:name="_Toc120784694"/>
      <w:r>
        <w:rPr>
          <w:rFonts w:cs="Arial"/>
          <w:szCs w:val="22"/>
        </w:rPr>
        <w:t xml:space="preserve">Kalkulace ceny jednotky </w:t>
      </w:r>
      <w:r w:rsidR="00474979">
        <w:rPr>
          <w:rFonts w:cs="Arial"/>
          <w:szCs w:val="22"/>
        </w:rPr>
        <w:t xml:space="preserve">ICT </w:t>
      </w:r>
      <w:r>
        <w:rPr>
          <w:rFonts w:cs="Arial"/>
          <w:szCs w:val="22"/>
        </w:rPr>
        <w:t>produkce</w:t>
      </w:r>
      <w:bookmarkEnd w:id="49"/>
    </w:p>
    <w:p w14:paraId="78CCA093" w14:textId="3F304C3E" w:rsidR="000E431A" w:rsidRDefault="000E431A" w:rsidP="00C80226">
      <w:r>
        <w:t xml:space="preserve"> např. jednoho produktivního roku jednoho celého systému nebo jeho dílčí služby.</w:t>
      </w:r>
    </w:p>
    <w:p w14:paraId="3AE9C9BB" w14:textId="49CB668E" w:rsidR="009656DB" w:rsidRDefault="009656DB" w:rsidP="00C80226">
      <w:r w:rsidRPr="009656DB">
        <w:t>Teorie říká, že základem kalkulace je rozvrh nákladů na kalkulační jednici. Jde o výpočetní postup, který by neměl být samoúčelný, nýbrž měl by směřovat k co nejadresnějšímu přiřazení nákladů na jednotku výkonu při uplatnění hlediska kauzality a odpovědnosti. Kalkulační systém bývá v tom nejužším smyslu chápán jako nezbytná součást informačního systému společnosti, jako sesterská disciplína účetnictví, rozpočetnictví, statistiky a operativní evidence.</w:t>
      </w:r>
    </w:p>
    <w:p w14:paraId="1B2A2CBB" w14:textId="169FE262" w:rsidR="004B44A2" w:rsidRPr="00C80226" w:rsidRDefault="004B44A2" w:rsidP="00C80226">
      <w:pPr>
        <w:rPr>
          <w:b/>
        </w:rPr>
      </w:pPr>
      <w:r w:rsidRPr="00C80226">
        <w:rPr>
          <w:b/>
        </w:rPr>
        <w:t>Použití úplné a neúplné kalkulace.</w:t>
      </w:r>
    </w:p>
    <w:p w14:paraId="0EBC76C9" w14:textId="78622793" w:rsidR="004B44A2" w:rsidRDefault="004B44A2" w:rsidP="00C80226">
      <w:pPr>
        <w:rPr>
          <w:b/>
        </w:rPr>
      </w:pPr>
      <w:r w:rsidRPr="00C80226">
        <w:rPr>
          <w:b/>
        </w:rPr>
        <w:t>Kalkulace do úrovně vlastních nákladů výroby</w:t>
      </w:r>
    </w:p>
    <w:p w14:paraId="68953081" w14:textId="1FC04C69" w:rsidR="00067D03" w:rsidRDefault="00067D03" w:rsidP="00C80226">
      <w:pPr>
        <w:rPr>
          <w:b/>
        </w:rPr>
      </w:pPr>
      <w:r>
        <w:rPr>
          <w:b/>
        </w:rPr>
        <w:t>Kalkulace variabilních nákladů (s krycím příspěvkem na úhradu fixních nákladů a zisku)</w:t>
      </w:r>
    </w:p>
    <w:p w14:paraId="33E58EA7" w14:textId="77777777" w:rsidR="004B44A2" w:rsidRDefault="004B44A2" w:rsidP="00C80226"/>
    <w:p w14:paraId="20A60C22" w14:textId="08526328" w:rsidR="000E431A" w:rsidRDefault="000E431A" w:rsidP="00C80226">
      <w:pPr>
        <w:pStyle w:val="Nadpis2"/>
        <w:jc w:val="both"/>
        <w:rPr>
          <w:rFonts w:cs="Arial"/>
          <w:szCs w:val="22"/>
        </w:rPr>
      </w:pPr>
      <w:bookmarkStart w:id="50" w:name="_Toc120784695"/>
      <w:r>
        <w:rPr>
          <w:rFonts w:cs="Arial"/>
          <w:szCs w:val="22"/>
        </w:rPr>
        <w:t xml:space="preserve">Plánování kapacit jednotlivých rolí v ICT </w:t>
      </w:r>
      <w:commentRangeStart w:id="51"/>
      <w:r>
        <w:rPr>
          <w:rFonts w:cs="Arial"/>
          <w:szCs w:val="22"/>
        </w:rPr>
        <w:t>útvarech</w:t>
      </w:r>
      <w:bookmarkEnd w:id="50"/>
      <w:commentRangeEnd w:id="51"/>
      <w:r w:rsidR="00CC41FD">
        <w:rPr>
          <w:rStyle w:val="Odkaznakoment"/>
          <w:b w:val="0"/>
          <w:i w:val="0"/>
          <w:kern w:val="0"/>
        </w:rPr>
        <w:commentReference w:id="51"/>
      </w:r>
    </w:p>
    <w:p w14:paraId="5BB2B91D" w14:textId="74B754A8" w:rsidR="00067D03" w:rsidRDefault="00067D03" w:rsidP="00C80226">
      <w:pPr>
        <w:pStyle w:val="Zkladntext"/>
      </w:pPr>
      <w:r>
        <w:t>Pro plánování kapacit jednotlivých pracovníků v jejich rolích a s jejich dovednostmi je nutné současně znát náklady na „údržbu“ jejich pracovní síly, tedy jinými slovy jejich FLC.</w:t>
      </w:r>
    </w:p>
    <w:p w14:paraId="3837AE16" w14:textId="0FD8C0B1" w:rsidR="00067D03" w:rsidRDefault="00067D03" w:rsidP="00C80226">
      <w:pPr>
        <w:pStyle w:val="Zkladntext"/>
      </w:pPr>
      <w:r>
        <w:t>Tato výše celkových osobních nákladů se může uplatnit pouze v tomto scénáři užití, na úrovni personálních kapacit celého útvaru a úřadu, ale současně jde spíše o vstup do výpočtu TCO pro všechny ostatní způsoby užití TCO ISVS.</w:t>
      </w:r>
    </w:p>
    <w:p w14:paraId="096502EC" w14:textId="780D697A" w:rsidR="00067D03" w:rsidRPr="00C80226" w:rsidRDefault="00067D03" w:rsidP="00C80226">
      <w:pPr>
        <w:pStyle w:val="Zkladntext"/>
      </w:pPr>
      <w:r w:rsidRPr="00C80226">
        <w:rPr>
          <w:highlight w:val="yellow"/>
        </w:rPr>
        <w:t>Tento způsob užití tu nakonec možná nebude, protože to vlastně TCO není, pouze jeho součást.</w:t>
      </w:r>
    </w:p>
    <w:p w14:paraId="1D2C39D0" w14:textId="3543BDE1" w:rsidR="000E431A" w:rsidRDefault="000E431A" w:rsidP="00C80226">
      <w:pPr>
        <w:pStyle w:val="Nadpis2"/>
        <w:jc w:val="both"/>
        <w:rPr>
          <w:rFonts w:cs="Arial"/>
          <w:szCs w:val="22"/>
        </w:rPr>
      </w:pPr>
      <w:bookmarkStart w:id="52" w:name="_Toc120784696"/>
      <w:r>
        <w:rPr>
          <w:rFonts w:cs="Arial"/>
          <w:szCs w:val="22"/>
        </w:rPr>
        <w:t>P</w:t>
      </w:r>
      <w:r w:rsidRPr="0047362E">
        <w:rPr>
          <w:rFonts w:cs="Arial"/>
          <w:szCs w:val="22"/>
        </w:rPr>
        <w:t>osouzení výhodnosti ISVS (investiční záměr, BC, CBA, Public-ROI</w:t>
      </w:r>
      <w:r>
        <w:rPr>
          <w:rFonts w:cs="Arial"/>
          <w:szCs w:val="22"/>
        </w:rPr>
        <w:t>)</w:t>
      </w:r>
      <w:bookmarkEnd w:id="52"/>
    </w:p>
    <w:p w14:paraId="02D828F9" w14:textId="08E7E783" w:rsidR="0081769B" w:rsidRPr="00C80226" w:rsidRDefault="0081769B" w:rsidP="00C80226">
      <w:r>
        <w:t xml:space="preserve">V mnoha výše uvedených případech použití ukazatele TCO ISVS ve skutečnosti nestačí pro manažery ICT OVM rozhodovat o ISVS pouze na základě nákladů. V případech, kdy není naplněn předpoklad: „ </w:t>
      </w:r>
      <w:r w:rsidRPr="00C80226">
        <w:rPr>
          <w:i/>
        </w:rPr>
        <w:t>Vím přesně</w:t>
      </w:r>
      <w:r>
        <w:rPr>
          <w:i/>
        </w:rPr>
        <w:t>,</w:t>
      </w:r>
      <w:r w:rsidRPr="00C80226">
        <w:rPr>
          <w:i/>
        </w:rPr>
        <w:t xml:space="preserve"> co chci, resp., co je mi zákonem uloženo</w:t>
      </w:r>
      <w:r>
        <w:rPr>
          <w:i/>
        </w:rPr>
        <w:t>,</w:t>
      </w:r>
      <w:r w:rsidRPr="00C80226">
        <w:rPr>
          <w:i/>
        </w:rPr>
        <w:t xml:space="preserve"> abych </w:t>
      </w:r>
      <w:r>
        <w:rPr>
          <w:i/>
        </w:rPr>
        <w:t xml:space="preserve">obstaral“, </w:t>
      </w:r>
      <w:r w:rsidRPr="00C80226">
        <w:t>aby stačilo zvažovat výhodnost ICT řešení ISVS pouze podle nákladů a ukazatele TCO ISVS, musí být TCO doplněno posouzením přínosů.</w:t>
      </w:r>
    </w:p>
    <w:p w14:paraId="43A9514D" w14:textId="3F1337BD" w:rsidR="0081769B" w:rsidRDefault="0081769B" w:rsidP="00C80226">
      <w:r w:rsidRPr="00C80226">
        <w:t xml:space="preserve">Posuzování přínosů </w:t>
      </w:r>
      <w:r>
        <w:t>ISVS nebo jeho alternativ řešení může být jak z hlediska věcného, politického nebo finančního (převedeného na peníze). Veřejná správa, vyjma správních poplatků, negeneruje žádné výnosy, jejichž navýšení by mohlo být porovnáváno proti nárůstu ICT nákladů.</w:t>
      </w:r>
    </w:p>
    <w:p w14:paraId="5F4E22DA" w14:textId="024A4CEB" w:rsidR="004F1337" w:rsidRDefault="004F1337" w:rsidP="00C80226">
      <w:r>
        <w:t>Na straně přínosů se proto častěji uvažuje o přínosu úspory nákladů, a to zejména nákladů spojených s výkonem služeb veřejné správy (byznys náklady). Zde se zvažuje nejenom úspora nákladů na straně OVM (čas úředníků), ale i na straně samoobslužných uživatelů služeb</w:t>
      </w:r>
      <w:r w:rsidR="00A71538">
        <w:t>. Je to regulérní, protože se zvažuje návratnost vynaložení veřejných prostředků společnosti zpět do celé společnosti České republiky.</w:t>
      </w:r>
    </w:p>
    <w:p w14:paraId="721A6120" w14:textId="4986FE2B" w:rsidR="004810C8" w:rsidRDefault="004810C8" w:rsidP="00C80226">
      <w:pPr>
        <w:pStyle w:val="Nadpis3"/>
      </w:pPr>
      <w:bookmarkStart w:id="53" w:name="_Toc120784697"/>
      <w:r>
        <w:t>Posouzení návratnosti digitalizace služeb výkonu veřejné správy</w:t>
      </w:r>
      <w:bookmarkEnd w:id="53"/>
    </w:p>
    <w:p w14:paraId="7AE79038" w14:textId="509F4E78" w:rsidR="00A71538" w:rsidRDefault="00A71538" w:rsidP="00C80226">
      <w:pPr>
        <w:pStyle w:val="Zkladntext"/>
      </w:pPr>
      <w:r>
        <w:t xml:space="preserve">Příručka plánování </w:t>
      </w:r>
      <w:r w:rsidRPr="00A71538">
        <w:t>digitalizace služeb veřejné správy ČR</w:t>
      </w:r>
      <w:r w:rsidR="007C7785">
        <w:rPr>
          <w:rStyle w:val="Znakapoznpodarou"/>
        </w:rPr>
        <w:footnoteReference w:id="29"/>
      </w:r>
      <w:r>
        <w:t>, vypracovaná Ministerstvem vnitra ČR na základě usnesení vlády ČR č. 84 z 1. 2. 2021 stanovuje, mimo jiné, že:</w:t>
      </w:r>
    </w:p>
    <w:p w14:paraId="03578E52" w14:textId="77777777" w:rsidR="00A71538" w:rsidRDefault="00A71538" w:rsidP="00C80226">
      <w:pPr>
        <w:pStyle w:val="Zkladntext"/>
      </w:pPr>
      <w:r w:rsidRPr="00A71538">
        <w:t xml:space="preserve">Klient veřejné správy má mít při konání digitálního úkonu možnost výběru obslužného kanálu: datová schránka, zaslání dokumentu opatřeného uznávaným elektronickým podpisem nebo samoobslužný portál. Výjimku z tohoto pravidla představuje výhrada: </w:t>
      </w:r>
    </w:p>
    <w:p w14:paraId="3E9A2351" w14:textId="15050615" w:rsidR="00A71538" w:rsidRDefault="00A71538" w:rsidP="00C80226">
      <w:pPr>
        <w:pStyle w:val="Zkladntext"/>
        <w:numPr>
          <w:ilvl w:val="0"/>
          <w:numId w:val="69"/>
        </w:numPr>
      </w:pPr>
      <w:r w:rsidRPr="00A71538">
        <w:t xml:space="preserve">vyloučení digitalizace na základě právního předpisu, </w:t>
      </w:r>
    </w:p>
    <w:p w14:paraId="1B6BB899" w14:textId="719B0CBD" w:rsidR="00A71538" w:rsidRDefault="00A71538" w:rsidP="00C80226">
      <w:pPr>
        <w:pStyle w:val="Zkladntext"/>
        <w:numPr>
          <w:ilvl w:val="0"/>
          <w:numId w:val="69"/>
        </w:numPr>
      </w:pPr>
      <w:r w:rsidRPr="00A71538">
        <w:t xml:space="preserve">neproveditelnosti (nevhodnosti k digitalizaci), </w:t>
      </w:r>
    </w:p>
    <w:p w14:paraId="03AAB75F" w14:textId="7B1E53A6" w:rsidR="00A71538" w:rsidRDefault="00A71538" w:rsidP="00C80226">
      <w:pPr>
        <w:pStyle w:val="Zkladntext"/>
        <w:numPr>
          <w:ilvl w:val="0"/>
          <w:numId w:val="69"/>
        </w:numPr>
      </w:pPr>
      <w:r w:rsidRPr="00A71538">
        <w:t>nehospodárnosti.</w:t>
      </w:r>
    </w:p>
    <w:p w14:paraId="557C0316" w14:textId="1E7EB037" w:rsidR="00A71538" w:rsidRDefault="00A71538" w:rsidP="00C80226">
      <w:pPr>
        <w:pStyle w:val="Zkladntext"/>
      </w:pPr>
      <w:r w:rsidRPr="00A71538">
        <w:t>Výše uvedené </w:t>
      </w:r>
      <w:r w:rsidRPr="00A71538">
        <w:rPr>
          <w:b/>
          <w:bCs/>
        </w:rPr>
        <w:t>pravidlo začne platit nejpozději od 1. února 2025.</w:t>
      </w:r>
      <w:r w:rsidRPr="00A71538">
        <w:t> Tuto povinnost je nutno podpořit včasným </w:t>
      </w:r>
      <w:r w:rsidRPr="00A71538">
        <w:rPr>
          <w:b/>
          <w:bCs/>
        </w:rPr>
        <w:t>naplánováním digitalizace</w:t>
      </w:r>
      <w:r w:rsidRPr="00A71538">
        <w:t> a následně jejím provedením.</w:t>
      </w:r>
    </w:p>
    <w:p w14:paraId="3A821C2C" w14:textId="2B2A83F9" w:rsidR="00A71538" w:rsidRDefault="00A71538" w:rsidP="00C80226">
      <w:pPr>
        <w:pStyle w:val="Zkladntext"/>
      </w:pPr>
      <w:r w:rsidRPr="00A71538">
        <w:t xml:space="preserve">Úkon </w:t>
      </w:r>
      <w:r>
        <w:t xml:space="preserve">digitální služby tedy </w:t>
      </w:r>
      <w:r w:rsidRPr="00C80226">
        <w:rPr>
          <w:b/>
        </w:rPr>
        <w:t>nemusí být plánován</w:t>
      </w:r>
      <w:r w:rsidRPr="00A71538">
        <w:t xml:space="preserve"> v digitálním interaktivním kanálu, </w:t>
      </w:r>
      <w:r w:rsidRPr="00C80226">
        <w:rPr>
          <w:b/>
        </w:rPr>
        <w:t xml:space="preserve">pokud návratnost </w:t>
      </w:r>
      <w:r w:rsidRPr="00A71538">
        <w:t xml:space="preserve">na implementaci úkonu portálovým řešením a jeho provoz </w:t>
      </w:r>
      <w:r w:rsidRPr="00C80226">
        <w:rPr>
          <w:b/>
        </w:rPr>
        <w:t>převyšuje pět let</w:t>
      </w:r>
      <w:r w:rsidRPr="00A71538">
        <w:t xml:space="preserve">. Pokud návratnost vyjde pět a méně let, implementace portálu/aplikace se vyplatí a nelze uplatnit výhradu nehospodárnosti. </w:t>
      </w:r>
    </w:p>
    <w:p w14:paraId="13320175" w14:textId="77777777" w:rsidR="00A71538" w:rsidRDefault="00A71538" w:rsidP="00C80226">
      <w:pPr>
        <w:pStyle w:val="Zkladntext"/>
      </w:pPr>
      <w:r w:rsidRPr="00A71538">
        <w:t xml:space="preserve">Jestliže je návratnost digitalizace delší (celkově souhrnem k projektu nebo pro jednotlivý úkon), nemá digitalizace služby či jejího úkonu smysl a nebude naplánována. Pro zjednodušenou kontrolu stačí, pokud jsou odhadované roční přínosy digitalizace nižší než samotné odhadované provozní výdaje potřebného řešení – v takovém případě není nutné přidávat výpočet investičních nákladů. </w:t>
      </w:r>
    </w:p>
    <w:p w14:paraId="5AD1A2FE" w14:textId="2633257D" w:rsidR="00A71538" w:rsidRPr="00C80226" w:rsidRDefault="00A71538" w:rsidP="00C80226">
      <w:pPr>
        <w:pStyle w:val="Zkladntext"/>
      </w:pPr>
      <w:r w:rsidRPr="00A71538">
        <w:t>Pro uplatnění výhrady nehospodárnosti digitalizace pomocí portálu je nutné disponovat výpočtem návratnosti a vstupní údaje si umět obhájit.</w:t>
      </w:r>
    </w:p>
    <w:p w14:paraId="0C349153" w14:textId="06B25E09" w:rsidR="004810C8" w:rsidRDefault="00DE7DA8" w:rsidP="00C80226">
      <w:r>
        <w:t xml:space="preserve">Zmiňovaný výpočet návratnosti je postaven na porovnání nákladů a přínosů změny. Na straně nákladů se dle této metodiky připouští uvažovat zjednodušení v rozsahu dle formuláře OHA, viz kap. </w:t>
      </w:r>
      <w:r>
        <w:fldChar w:fldCharType="begin"/>
      </w:r>
      <w:r>
        <w:instrText xml:space="preserve"> REF _Ref120708551 \r \h </w:instrText>
      </w:r>
      <w:r>
        <w:fldChar w:fldCharType="separate"/>
      </w:r>
      <w:r>
        <w:t>3.3.1</w:t>
      </w:r>
      <w:r>
        <w:fldChar w:fldCharType="end"/>
      </w:r>
      <w:r>
        <w:t>, což Příručka popisuje vlastními slovy. Na straně výnosů (úspor) se dle Příručky bere v úvahu:</w:t>
      </w:r>
    </w:p>
    <w:p w14:paraId="251E482D" w14:textId="77777777" w:rsidR="00DE7DA8" w:rsidRDefault="00DE7DA8" w:rsidP="00C80226">
      <w:pPr>
        <w:numPr>
          <w:ilvl w:val="0"/>
          <w:numId w:val="70"/>
        </w:numPr>
      </w:pPr>
      <w:r w:rsidRPr="00DE7DA8">
        <w:t xml:space="preserve">průměrné zkrácení doby interakce (úspora) na straně klientů a na straně veřejné správy, </w:t>
      </w:r>
    </w:p>
    <w:p w14:paraId="1CFE7B81" w14:textId="327766D3" w:rsidR="000E431A" w:rsidRPr="00C80226" w:rsidRDefault="00DE7DA8" w:rsidP="00C80226">
      <w:pPr>
        <w:numPr>
          <w:ilvl w:val="0"/>
          <w:numId w:val="70"/>
        </w:numPr>
        <w:jc w:val="both"/>
        <w:rPr>
          <w:rFonts w:cs="Arial"/>
        </w:rPr>
      </w:pPr>
      <w:r w:rsidRPr="00DE7DA8">
        <w:t>materiálová úspora na straně klientů a na straně veřejné správy</w:t>
      </w:r>
      <w:r>
        <w:t>.</w:t>
      </w:r>
    </w:p>
    <w:p w14:paraId="387004D3" w14:textId="77777777" w:rsidR="006C162E" w:rsidRPr="004E2B72" w:rsidRDefault="006C162E" w:rsidP="00073E78">
      <w:pPr>
        <w:tabs>
          <w:tab w:val="clear" w:pos="284"/>
          <w:tab w:val="clear" w:pos="567"/>
          <w:tab w:val="clear" w:pos="851"/>
          <w:tab w:val="clear" w:pos="1134"/>
          <w:tab w:val="clear" w:pos="1418"/>
          <w:tab w:val="clear" w:pos="9072"/>
        </w:tabs>
        <w:spacing w:after="0"/>
        <w:jc w:val="both"/>
        <w:rPr>
          <w:rFonts w:cs="Arial"/>
          <w:b/>
          <w:kern w:val="28"/>
          <w:sz w:val="32"/>
        </w:rPr>
      </w:pPr>
      <w:r w:rsidRPr="004E2B72">
        <w:rPr>
          <w:rFonts w:cs="Arial"/>
        </w:rPr>
        <w:br w:type="page"/>
      </w:r>
    </w:p>
    <w:p w14:paraId="4F7A1A3B" w14:textId="226FDCA2" w:rsidR="00D24DA5" w:rsidRPr="004E2B72" w:rsidRDefault="001871E3" w:rsidP="00073E78">
      <w:pPr>
        <w:pStyle w:val="Nadpis1"/>
        <w:jc w:val="both"/>
        <w:rPr>
          <w:rFonts w:cs="Arial"/>
        </w:rPr>
      </w:pPr>
      <w:bookmarkStart w:id="54" w:name="_Toc120784698"/>
      <w:r w:rsidRPr="004E2B72">
        <w:rPr>
          <w:rFonts w:cs="Arial"/>
        </w:rPr>
        <w:t>Seznam zkratek</w:t>
      </w:r>
      <w:bookmarkEnd w:id="54"/>
    </w:p>
    <w:tbl>
      <w:tblPr>
        <w:tblW w:w="0" w:type="auto"/>
        <w:tblLook w:val="04A0" w:firstRow="1" w:lastRow="0" w:firstColumn="1" w:lastColumn="0" w:noHBand="0" w:noVBand="1"/>
      </w:tblPr>
      <w:tblGrid>
        <w:gridCol w:w="1017"/>
        <w:gridCol w:w="8054"/>
      </w:tblGrid>
      <w:tr w:rsidR="00955C73" w:rsidRPr="004E2B72" w14:paraId="303BCB6C" w14:textId="77777777" w:rsidTr="00B737BE">
        <w:tc>
          <w:tcPr>
            <w:tcW w:w="1021" w:type="dxa"/>
            <w:shd w:val="clear" w:color="auto" w:fill="D9D9D9" w:themeFill="background1" w:themeFillShade="D9"/>
          </w:tcPr>
          <w:p w14:paraId="0203D99E"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b/>
              </w:rPr>
            </w:pPr>
            <w:r w:rsidRPr="004E2B72">
              <w:rPr>
                <w:rFonts w:cs="Arial"/>
                <w:b/>
              </w:rPr>
              <w:t>Zkratka</w:t>
            </w:r>
          </w:p>
        </w:tc>
        <w:tc>
          <w:tcPr>
            <w:tcW w:w="8359" w:type="dxa"/>
            <w:shd w:val="clear" w:color="auto" w:fill="D9D9D9" w:themeFill="background1" w:themeFillShade="D9"/>
          </w:tcPr>
          <w:p w14:paraId="68C0319A"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b/>
              </w:rPr>
            </w:pPr>
            <w:r w:rsidRPr="004E2B72">
              <w:rPr>
                <w:rFonts w:cs="Arial"/>
                <w:b/>
              </w:rPr>
              <w:t>Vysvětlení</w:t>
            </w:r>
          </w:p>
        </w:tc>
      </w:tr>
      <w:tr w:rsidR="00955C73" w:rsidRPr="004E2B72" w14:paraId="6B8E72F9" w14:textId="77777777" w:rsidTr="00B737BE">
        <w:tc>
          <w:tcPr>
            <w:tcW w:w="1021" w:type="dxa"/>
            <w:shd w:val="clear" w:color="auto" w:fill="D9D9D9" w:themeFill="background1" w:themeFillShade="D9"/>
          </w:tcPr>
          <w:p w14:paraId="00F7BCFD"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3E</w:t>
            </w:r>
          </w:p>
        </w:tc>
        <w:tc>
          <w:tcPr>
            <w:tcW w:w="8359" w:type="dxa"/>
          </w:tcPr>
          <w:p w14:paraId="3B19E5B7"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Metoda hodnocení výkonnosti podle Evropského účetního dvora a národních předpisů ČR, z angl. Economy, Efficiency, Effectiveness</w:t>
            </w:r>
          </w:p>
        </w:tc>
      </w:tr>
      <w:tr w:rsidR="00955C73" w:rsidRPr="004E2B72" w14:paraId="16919D96" w14:textId="77777777" w:rsidTr="00B737BE">
        <w:tc>
          <w:tcPr>
            <w:tcW w:w="1021" w:type="dxa"/>
            <w:shd w:val="clear" w:color="auto" w:fill="D9D9D9" w:themeFill="background1" w:themeFillShade="D9"/>
          </w:tcPr>
          <w:p w14:paraId="52DDA96D"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BC</w:t>
            </w:r>
          </w:p>
        </w:tc>
        <w:tc>
          <w:tcPr>
            <w:tcW w:w="8359" w:type="dxa"/>
          </w:tcPr>
          <w:p w14:paraId="1CB994E4"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Hodnocení proveditelnosti a přínosů, z angl. Business Case</w:t>
            </w:r>
          </w:p>
        </w:tc>
      </w:tr>
      <w:tr w:rsidR="00955C73" w:rsidRPr="004E2B72" w14:paraId="2C549A80" w14:textId="77777777" w:rsidTr="00B737BE">
        <w:tc>
          <w:tcPr>
            <w:tcW w:w="1021" w:type="dxa"/>
            <w:shd w:val="clear" w:color="auto" w:fill="D9D9D9" w:themeFill="background1" w:themeFillShade="D9"/>
          </w:tcPr>
          <w:p w14:paraId="6B574427"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CBA</w:t>
            </w:r>
          </w:p>
        </w:tc>
        <w:tc>
          <w:tcPr>
            <w:tcW w:w="8359" w:type="dxa"/>
          </w:tcPr>
          <w:p w14:paraId="0DDE8302"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Hodnocení přínosů, z angl. Cost-Benefit Analysis</w:t>
            </w:r>
          </w:p>
        </w:tc>
      </w:tr>
      <w:tr w:rsidR="00955C73" w:rsidRPr="004E2B72" w14:paraId="6AEE9889" w14:textId="77777777" w:rsidTr="00B737BE">
        <w:tc>
          <w:tcPr>
            <w:tcW w:w="1021" w:type="dxa"/>
            <w:shd w:val="clear" w:color="auto" w:fill="D9D9D9" w:themeFill="background1" w:themeFillShade="D9"/>
          </w:tcPr>
          <w:p w14:paraId="44B7F1DF"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Cloud</w:t>
            </w:r>
          </w:p>
        </w:tc>
        <w:tc>
          <w:tcPr>
            <w:tcW w:w="8359" w:type="dxa"/>
          </w:tcPr>
          <w:p w14:paraId="5FC6DBE4"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Doslova výpočetní mrak, označení pro místo, odkud jsou uživateli poskytovány aplikační služby, on jej však nezná nebo se umístěním nezabývá, pouze služby v internetu spotřebovává.</w:t>
            </w:r>
          </w:p>
        </w:tc>
      </w:tr>
      <w:tr w:rsidR="00955C73" w:rsidRPr="004E2B72" w14:paraId="6087F2FD" w14:textId="77777777" w:rsidTr="00B737BE">
        <w:tc>
          <w:tcPr>
            <w:tcW w:w="1021" w:type="dxa"/>
            <w:shd w:val="clear" w:color="auto" w:fill="D9D9D9" w:themeFill="background1" w:themeFillShade="D9"/>
          </w:tcPr>
          <w:p w14:paraId="5E5EB063"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DPH</w:t>
            </w:r>
          </w:p>
        </w:tc>
        <w:tc>
          <w:tcPr>
            <w:tcW w:w="8359" w:type="dxa"/>
          </w:tcPr>
          <w:p w14:paraId="71A1A01A"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Daň z přidané hodnoty</w:t>
            </w:r>
          </w:p>
        </w:tc>
      </w:tr>
      <w:tr w:rsidR="00955C73" w:rsidRPr="004E2B72" w14:paraId="1463D923" w14:textId="77777777" w:rsidTr="00B737BE">
        <w:tc>
          <w:tcPr>
            <w:tcW w:w="1021" w:type="dxa"/>
            <w:shd w:val="clear" w:color="auto" w:fill="D9D9D9" w:themeFill="background1" w:themeFillShade="D9"/>
          </w:tcPr>
          <w:p w14:paraId="5A81C354"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 xml:space="preserve">ERP </w:t>
            </w:r>
          </w:p>
        </w:tc>
        <w:tc>
          <w:tcPr>
            <w:tcW w:w="8359" w:type="dxa"/>
          </w:tcPr>
          <w:p w14:paraId="3F2F4B2D"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Řešení pro plánování a řízení podnikových zdrojů, včetně účtování o nich, z angl. Enterprise Resource Planning</w:t>
            </w:r>
          </w:p>
        </w:tc>
      </w:tr>
      <w:tr w:rsidR="00955C73" w:rsidRPr="004E2B72" w14:paraId="2E8E14D0" w14:textId="77777777" w:rsidTr="00B737BE">
        <w:tc>
          <w:tcPr>
            <w:tcW w:w="1021" w:type="dxa"/>
            <w:shd w:val="clear" w:color="auto" w:fill="D9D9D9" w:themeFill="background1" w:themeFillShade="D9"/>
          </w:tcPr>
          <w:p w14:paraId="558DDABF"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 xml:space="preserve">FKSP </w:t>
            </w:r>
          </w:p>
        </w:tc>
        <w:tc>
          <w:tcPr>
            <w:tcW w:w="8359" w:type="dxa"/>
          </w:tcPr>
          <w:p w14:paraId="3E0DB2B8"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Fond kulturních a sociálních potřeb</w:t>
            </w:r>
          </w:p>
        </w:tc>
      </w:tr>
      <w:tr w:rsidR="00955C73" w:rsidRPr="004E2B72" w14:paraId="54758FF3" w14:textId="77777777" w:rsidTr="00B737BE">
        <w:tc>
          <w:tcPr>
            <w:tcW w:w="1021" w:type="dxa"/>
            <w:shd w:val="clear" w:color="auto" w:fill="D9D9D9" w:themeFill="background1" w:themeFillShade="D9"/>
          </w:tcPr>
          <w:p w14:paraId="1BC12C7B"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 xml:space="preserve">FLC </w:t>
            </w:r>
          </w:p>
        </w:tc>
        <w:tc>
          <w:tcPr>
            <w:tcW w:w="8359" w:type="dxa"/>
          </w:tcPr>
          <w:p w14:paraId="5CD43802"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Plné náklady pracovního času zaměstnance, z angl. Fully Loaded Cost of an employee time</w:t>
            </w:r>
          </w:p>
        </w:tc>
      </w:tr>
      <w:tr w:rsidR="00955C73" w:rsidRPr="004E2B72" w14:paraId="6205AB79" w14:textId="77777777" w:rsidTr="00B737BE">
        <w:tc>
          <w:tcPr>
            <w:tcW w:w="1021" w:type="dxa"/>
            <w:shd w:val="clear" w:color="auto" w:fill="D9D9D9" w:themeFill="background1" w:themeFillShade="D9"/>
          </w:tcPr>
          <w:p w14:paraId="3D203458"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HR</w:t>
            </w:r>
          </w:p>
        </w:tc>
        <w:tc>
          <w:tcPr>
            <w:tcW w:w="8359" w:type="dxa"/>
          </w:tcPr>
          <w:p w14:paraId="1784F05C"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Řízení lidských zdrojů, z angl. Human Resources</w:t>
            </w:r>
          </w:p>
        </w:tc>
      </w:tr>
      <w:tr w:rsidR="00955C73" w:rsidRPr="004E2B72" w14:paraId="3A45583E" w14:textId="77777777" w:rsidTr="00B737BE">
        <w:tc>
          <w:tcPr>
            <w:tcW w:w="1021" w:type="dxa"/>
            <w:shd w:val="clear" w:color="auto" w:fill="D9D9D9" w:themeFill="background1" w:themeFillShade="D9"/>
          </w:tcPr>
          <w:p w14:paraId="0E9027B0"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HW</w:t>
            </w:r>
          </w:p>
        </w:tc>
        <w:tc>
          <w:tcPr>
            <w:tcW w:w="8359" w:type="dxa"/>
          </w:tcPr>
          <w:p w14:paraId="4B4F3F89"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Zařízení, z angl. Hardware</w:t>
            </w:r>
          </w:p>
        </w:tc>
      </w:tr>
      <w:tr w:rsidR="00955C73" w:rsidRPr="004E2B72" w14:paraId="53CF87C5" w14:textId="77777777" w:rsidTr="00B737BE">
        <w:tc>
          <w:tcPr>
            <w:tcW w:w="1021" w:type="dxa"/>
            <w:shd w:val="clear" w:color="auto" w:fill="D9D9D9" w:themeFill="background1" w:themeFillShade="D9"/>
          </w:tcPr>
          <w:p w14:paraId="11570477"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ICT</w:t>
            </w:r>
          </w:p>
        </w:tc>
        <w:tc>
          <w:tcPr>
            <w:tcW w:w="8359" w:type="dxa"/>
          </w:tcPr>
          <w:p w14:paraId="5252F6B6"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Informační a komunikační technologie, z angl. Information and Communication Technology</w:t>
            </w:r>
          </w:p>
        </w:tc>
      </w:tr>
      <w:tr w:rsidR="00955C73" w:rsidRPr="004E2B72" w14:paraId="109E23F3" w14:textId="77777777" w:rsidTr="00B737BE">
        <w:tc>
          <w:tcPr>
            <w:tcW w:w="1021" w:type="dxa"/>
            <w:shd w:val="clear" w:color="auto" w:fill="D9D9D9" w:themeFill="background1" w:themeFillShade="D9"/>
          </w:tcPr>
          <w:p w14:paraId="1A909AE9" w14:textId="77777777" w:rsidR="004D2FF7"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IS</w:t>
            </w:r>
          </w:p>
          <w:p w14:paraId="5B9880BC" w14:textId="4344EC21" w:rsidR="00955C73" w:rsidRPr="004E2B72" w:rsidRDefault="004D2FF7"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ISVS</w:t>
            </w:r>
            <w:r w:rsidR="00955C73" w:rsidRPr="004E2B72">
              <w:rPr>
                <w:rFonts w:cs="Arial"/>
              </w:rPr>
              <w:t xml:space="preserve"> </w:t>
            </w:r>
          </w:p>
        </w:tc>
        <w:tc>
          <w:tcPr>
            <w:tcW w:w="8359" w:type="dxa"/>
          </w:tcPr>
          <w:p w14:paraId="47163B29" w14:textId="08D54432"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Informační systém</w:t>
            </w:r>
          </w:p>
          <w:p w14:paraId="048F82EB" w14:textId="4ED1F99E" w:rsidR="004D2FF7" w:rsidRPr="004E2B72" w:rsidRDefault="004D2FF7"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Informační systém veřejné správy</w:t>
            </w:r>
          </w:p>
        </w:tc>
      </w:tr>
      <w:tr w:rsidR="00955C73" w:rsidRPr="004E2B72" w14:paraId="1954B968" w14:textId="77777777" w:rsidTr="00B737BE">
        <w:tc>
          <w:tcPr>
            <w:tcW w:w="1021" w:type="dxa"/>
            <w:shd w:val="clear" w:color="auto" w:fill="D9D9D9" w:themeFill="background1" w:themeFillShade="D9"/>
          </w:tcPr>
          <w:p w14:paraId="1DD5EC0F"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KPI</w:t>
            </w:r>
          </w:p>
        </w:tc>
        <w:tc>
          <w:tcPr>
            <w:tcW w:w="8359" w:type="dxa"/>
          </w:tcPr>
          <w:p w14:paraId="32CDB991"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Klíčový ukazatel výkonnosti, z angl. Key Performance Indicator</w:t>
            </w:r>
          </w:p>
        </w:tc>
      </w:tr>
      <w:tr w:rsidR="00955C73" w:rsidRPr="004E2B72" w14:paraId="14F8EF96" w14:textId="77777777" w:rsidTr="00B737BE">
        <w:tc>
          <w:tcPr>
            <w:tcW w:w="1021" w:type="dxa"/>
            <w:shd w:val="clear" w:color="auto" w:fill="D9D9D9" w:themeFill="background1" w:themeFillShade="D9"/>
          </w:tcPr>
          <w:p w14:paraId="62599A6E"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MVČR</w:t>
            </w:r>
          </w:p>
        </w:tc>
        <w:tc>
          <w:tcPr>
            <w:tcW w:w="8359" w:type="dxa"/>
          </w:tcPr>
          <w:p w14:paraId="22864B06"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Ministerstvo vnitra ČR</w:t>
            </w:r>
          </w:p>
        </w:tc>
      </w:tr>
      <w:tr w:rsidR="00955C73" w:rsidRPr="004E2B72" w14:paraId="0BFC94EE" w14:textId="77777777" w:rsidTr="00B737BE">
        <w:tc>
          <w:tcPr>
            <w:tcW w:w="1021" w:type="dxa"/>
            <w:shd w:val="clear" w:color="auto" w:fill="D9D9D9" w:themeFill="background1" w:themeFillShade="D9"/>
          </w:tcPr>
          <w:p w14:paraId="2D0C0F21"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NPV</w:t>
            </w:r>
          </w:p>
        </w:tc>
        <w:tc>
          <w:tcPr>
            <w:tcW w:w="8359" w:type="dxa"/>
          </w:tcPr>
          <w:p w14:paraId="42AD4353"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Čistá současná hodnota investice, z angl. Net Present Value</w:t>
            </w:r>
          </w:p>
        </w:tc>
      </w:tr>
      <w:tr w:rsidR="00955C73" w:rsidRPr="004E2B72" w14:paraId="763E5FEA" w14:textId="77777777" w:rsidTr="00B737BE">
        <w:tc>
          <w:tcPr>
            <w:tcW w:w="1021" w:type="dxa"/>
            <w:shd w:val="clear" w:color="auto" w:fill="D9D9D9" w:themeFill="background1" w:themeFillShade="D9"/>
          </w:tcPr>
          <w:p w14:paraId="73EA36C4"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OHA</w:t>
            </w:r>
          </w:p>
        </w:tc>
        <w:tc>
          <w:tcPr>
            <w:tcW w:w="8359" w:type="dxa"/>
          </w:tcPr>
          <w:p w14:paraId="7B43E1E7"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Odbor Hlavního architekta eGovernmentu na MVČR</w:t>
            </w:r>
          </w:p>
        </w:tc>
      </w:tr>
      <w:tr w:rsidR="00955C73" w:rsidRPr="004E2B72" w14:paraId="2C7F91F2" w14:textId="77777777" w:rsidTr="00B737BE">
        <w:tc>
          <w:tcPr>
            <w:tcW w:w="1021" w:type="dxa"/>
            <w:shd w:val="clear" w:color="auto" w:fill="D9D9D9" w:themeFill="background1" w:themeFillShade="D9"/>
          </w:tcPr>
          <w:p w14:paraId="51F27DBB"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OS</w:t>
            </w:r>
          </w:p>
        </w:tc>
        <w:tc>
          <w:tcPr>
            <w:tcW w:w="8359" w:type="dxa"/>
          </w:tcPr>
          <w:p w14:paraId="5ECE5429"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Operační systém</w:t>
            </w:r>
          </w:p>
        </w:tc>
      </w:tr>
      <w:tr w:rsidR="00955C73" w:rsidRPr="004E2B72" w14:paraId="01454270" w14:textId="77777777" w:rsidTr="00B737BE">
        <w:tc>
          <w:tcPr>
            <w:tcW w:w="1021" w:type="dxa"/>
            <w:shd w:val="clear" w:color="auto" w:fill="D9D9D9" w:themeFill="background1" w:themeFillShade="D9"/>
          </w:tcPr>
          <w:p w14:paraId="350EBDB7"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OVM</w:t>
            </w:r>
          </w:p>
        </w:tc>
        <w:tc>
          <w:tcPr>
            <w:tcW w:w="8359" w:type="dxa"/>
          </w:tcPr>
          <w:p w14:paraId="1190F64A"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Orgán veřejné moci, zákonný pojem pro úřad, alternativně OMV jakožto Orgán veřejné správy</w:t>
            </w:r>
          </w:p>
        </w:tc>
      </w:tr>
      <w:tr w:rsidR="00955C73" w:rsidRPr="004E2B72" w14:paraId="739FF76C" w14:textId="77777777" w:rsidTr="00B737BE">
        <w:tc>
          <w:tcPr>
            <w:tcW w:w="1021" w:type="dxa"/>
            <w:shd w:val="clear" w:color="auto" w:fill="D9D9D9" w:themeFill="background1" w:themeFillShade="D9"/>
          </w:tcPr>
          <w:p w14:paraId="59127616"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 xml:space="preserve">PDCA </w:t>
            </w:r>
          </w:p>
        </w:tc>
        <w:tc>
          <w:tcPr>
            <w:tcW w:w="8359" w:type="dxa"/>
          </w:tcPr>
          <w:p w14:paraId="34491B10"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Demingův cyklus zlepšování, z angl. plan-do-check-act,  tedy naplánuj-proveď-ověř-jednej</w:t>
            </w:r>
          </w:p>
        </w:tc>
      </w:tr>
      <w:tr w:rsidR="00955C73" w:rsidRPr="004E2B72" w14:paraId="0CFBDE02" w14:textId="77777777" w:rsidTr="00B737BE">
        <w:tc>
          <w:tcPr>
            <w:tcW w:w="1021" w:type="dxa"/>
            <w:shd w:val="clear" w:color="auto" w:fill="D9D9D9" w:themeFill="background1" w:themeFillShade="D9"/>
          </w:tcPr>
          <w:p w14:paraId="5AE3D66E"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PI</w:t>
            </w:r>
          </w:p>
        </w:tc>
        <w:tc>
          <w:tcPr>
            <w:tcW w:w="8359" w:type="dxa"/>
          </w:tcPr>
          <w:p w14:paraId="71A61EE3"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Ukazatel výkonnosti, z angl. Performance Indicator</w:t>
            </w:r>
          </w:p>
        </w:tc>
      </w:tr>
      <w:tr w:rsidR="00955C73" w:rsidRPr="004E2B72" w14:paraId="048B4A75" w14:textId="77777777" w:rsidTr="00B737BE">
        <w:tc>
          <w:tcPr>
            <w:tcW w:w="1021" w:type="dxa"/>
            <w:shd w:val="clear" w:color="auto" w:fill="D9D9D9" w:themeFill="background1" w:themeFillShade="D9"/>
          </w:tcPr>
          <w:p w14:paraId="3580A9CD"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PMA</w:t>
            </w:r>
          </w:p>
        </w:tc>
        <w:tc>
          <w:tcPr>
            <w:tcW w:w="8359" w:type="dxa"/>
          </w:tcPr>
          <w:p w14:paraId="23FEE45B"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Název projektu na MV ČR: Procesní modelování agend</w:t>
            </w:r>
          </w:p>
        </w:tc>
      </w:tr>
      <w:tr w:rsidR="00955C73" w:rsidRPr="004E2B72" w14:paraId="1E088EBB" w14:textId="77777777" w:rsidTr="00B737BE">
        <w:tc>
          <w:tcPr>
            <w:tcW w:w="1021" w:type="dxa"/>
            <w:shd w:val="clear" w:color="auto" w:fill="D9D9D9" w:themeFill="background1" w:themeFillShade="D9"/>
          </w:tcPr>
          <w:p w14:paraId="6EB42459"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PPI</w:t>
            </w:r>
          </w:p>
        </w:tc>
        <w:tc>
          <w:tcPr>
            <w:tcW w:w="8359" w:type="dxa"/>
          </w:tcPr>
          <w:p w14:paraId="0FE34CDE"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Procesní ukazatel výkonnosti, tedy ukazatel výkonnosti procesu, z angl. Process Performance Indicator</w:t>
            </w:r>
          </w:p>
        </w:tc>
      </w:tr>
      <w:tr w:rsidR="00955C73" w:rsidRPr="004E2B72" w14:paraId="48FA91A0" w14:textId="77777777" w:rsidTr="00B737BE">
        <w:tc>
          <w:tcPr>
            <w:tcW w:w="1021" w:type="dxa"/>
            <w:shd w:val="clear" w:color="auto" w:fill="D9D9D9" w:themeFill="background1" w:themeFillShade="D9"/>
          </w:tcPr>
          <w:p w14:paraId="49586A9C"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SaaS</w:t>
            </w:r>
          </w:p>
        </w:tc>
        <w:tc>
          <w:tcPr>
            <w:tcW w:w="8359" w:type="dxa"/>
          </w:tcPr>
          <w:p w14:paraId="5FFEB1DF" w14:textId="78A5ED5B"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Software as a Service</w:t>
            </w:r>
            <w:r w:rsidR="004D2FF7" w:rsidRPr="004E2B72">
              <w:rPr>
                <w:rFonts w:cs="Arial"/>
              </w:rPr>
              <w:t xml:space="preserve"> (Software jako služba)</w:t>
            </w:r>
          </w:p>
        </w:tc>
      </w:tr>
      <w:tr w:rsidR="00955C73" w:rsidRPr="004E2B72" w14:paraId="69CD743F" w14:textId="77777777" w:rsidTr="00B737BE">
        <w:tc>
          <w:tcPr>
            <w:tcW w:w="1021" w:type="dxa"/>
            <w:shd w:val="clear" w:color="auto" w:fill="D9D9D9" w:themeFill="background1" w:themeFillShade="D9"/>
          </w:tcPr>
          <w:p w14:paraId="4FB18A41"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SŘBD</w:t>
            </w:r>
          </w:p>
        </w:tc>
        <w:tc>
          <w:tcPr>
            <w:tcW w:w="8359" w:type="dxa"/>
          </w:tcPr>
          <w:p w14:paraId="6911C55D"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Systém řízení báze dat, totéž jako DBMS, z angl. Database Management System</w:t>
            </w:r>
          </w:p>
        </w:tc>
      </w:tr>
      <w:tr w:rsidR="00955C73" w:rsidRPr="004E2B72" w14:paraId="6FD02612" w14:textId="77777777" w:rsidTr="00B737BE">
        <w:tc>
          <w:tcPr>
            <w:tcW w:w="1021" w:type="dxa"/>
            <w:shd w:val="clear" w:color="auto" w:fill="D9D9D9" w:themeFill="background1" w:themeFillShade="D9"/>
          </w:tcPr>
          <w:p w14:paraId="09F19192"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SW</w:t>
            </w:r>
          </w:p>
        </w:tc>
        <w:tc>
          <w:tcPr>
            <w:tcW w:w="8359" w:type="dxa"/>
          </w:tcPr>
          <w:p w14:paraId="136A4B1C"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Programové vybavení, z angl. Software</w:t>
            </w:r>
          </w:p>
        </w:tc>
      </w:tr>
      <w:tr w:rsidR="00955C73" w:rsidRPr="004E2B72" w14:paraId="5D5E7690" w14:textId="77777777" w:rsidTr="00B737BE">
        <w:tc>
          <w:tcPr>
            <w:tcW w:w="1021" w:type="dxa"/>
            <w:shd w:val="clear" w:color="auto" w:fill="D9D9D9" w:themeFill="background1" w:themeFillShade="D9"/>
          </w:tcPr>
          <w:p w14:paraId="1F516386"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TCO</w:t>
            </w:r>
          </w:p>
        </w:tc>
        <w:tc>
          <w:tcPr>
            <w:tcW w:w="8359" w:type="dxa"/>
          </w:tcPr>
          <w:p w14:paraId="1063BD36" w14:textId="108FA8EF" w:rsidR="00955C73" w:rsidRPr="004E2B72" w:rsidRDefault="004D2FF7"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A16C06">
              <w:rPr>
                <w:rFonts w:cs="Arial"/>
              </w:rPr>
              <w:t>Total Cost of Ownership. Metoda hodnocení celkových nákladů na vlastnictví produktu nebo služby.</w:t>
            </w:r>
            <w:r w:rsidRPr="008B7D82">
              <w:rPr>
                <w:rFonts w:cs="Arial"/>
              </w:rPr>
              <w:t xml:space="preserve"> </w:t>
            </w:r>
            <w:r w:rsidRPr="00A16C06">
              <w:rPr>
                <w:rFonts w:cs="Arial"/>
              </w:rPr>
              <w:t>Prostřednictvím TCO se vyjadřují kompletní náklady na investici a její provoz, zohledňující nejen pořizovací cenu, ale také výdaje vznikající vlastnictvím hodnocených statků.</w:t>
            </w:r>
          </w:p>
        </w:tc>
      </w:tr>
      <w:tr w:rsidR="00955C73" w:rsidRPr="004E2B72" w14:paraId="305696C3" w14:textId="77777777" w:rsidTr="00B737BE">
        <w:tc>
          <w:tcPr>
            <w:tcW w:w="1021" w:type="dxa"/>
            <w:shd w:val="clear" w:color="auto" w:fill="D9D9D9" w:themeFill="background1" w:themeFillShade="D9"/>
          </w:tcPr>
          <w:p w14:paraId="0BF76A20"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 xml:space="preserve">VS </w:t>
            </w:r>
          </w:p>
        </w:tc>
        <w:tc>
          <w:tcPr>
            <w:tcW w:w="8359" w:type="dxa"/>
          </w:tcPr>
          <w:p w14:paraId="2DAF121C"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Veřejná správa České republiky.</w:t>
            </w:r>
          </w:p>
        </w:tc>
      </w:tr>
      <w:tr w:rsidR="00955C73" w:rsidRPr="004E2B72" w14:paraId="5684A3AF" w14:textId="77777777" w:rsidTr="00B737BE">
        <w:tc>
          <w:tcPr>
            <w:tcW w:w="1021" w:type="dxa"/>
            <w:shd w:val="clear" w:color="auto" w:fill="D9D9D9" w:themeFill="background1" w:themeFillShade="D9"/>
          </w:tcPr>
          <w:p w14:paraId="04E28179"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VŠE</w:t>
            </w:r>
          </w:p>
        </w:tc>
        <w:tc>
          <w:tcPr>
            <w:tcW w:w="8359" w:type="dxa"/>
          </w:tcPr>
          <w:p w14:paraId="008DAF24" w14:textId="77777777" w:rsidR="00955C73" w:rsidRPr="004E2B72" w:rsidRDefault="00955C73" w:rsidP="00073E78">
            <w:pPr>
              <w:tabs>
                <w:tab w:val="clear" w:pos="284"/>
                <w:tab w:val="clear" w:pos="567"/>
                <w:tab w:val="clear" w:pos="851"/>
                <w:tab w:val="clear" w:pos="1134"/>
                <w:tab w:val="clear" w:pos="1418"/>
                <w:tab w:val="clear" w:pos="9072"/>
              </w:tabs>
              <w:spacing w:before="40" w:after="40" w:line="259" w:lineRule="auto"/>
              <w:jc w:val="both"/>
              <w:rPr>
                <w:rFonts w:cs="Arial"/>
              </w:rPr>
            </w:pPr>
            <w:r w:rsidRPr="004E2B72">
              <w:rPr>
                <w:rFonts w:cs="Arial"/>
              </w:rPr>
              <w:t>Vysoká škola ekonomická v Praze</w:t>
            </w:r>
          </w:p>
        </w:tc>
      </w:tr>
    </w:tbl>
    <w:p w14:paraId="2ACA337B" w14:textId="77777777" w:rsidR="001871E3" w:rsidRPr="004E2B72" w:rsidRDefault="001871E3" w:rsidP="00073E78">
      <w:pPr>
        <w:pStyle w:val="Zkladntext"/>
        <w:spacing w:after="0"/>
        <w:jc w:val="both"/>
        <w:rPr>
          <w:rFonts w:cs="Arial"/>
        </w:rPr>
      </w:pPr>
    </w:p>
    <w:p w14:paraId="1A084DD3" w14:textId="77777777" w:rsidR="004B10AD" w:rsidRPr="004E2B72" w:rsidRDefault="004B10AD" w:rsidP="00073E78">
      <w:pPr>
        <w:tabs>
          <w:tab w:val="clear" w:pos="284"/>
          <w:tab w:val="clear" w:pos="567"/>
          <w:tab w:val="clear" w:pos="851"/>
          <w:tab w:val="clear" w:pos="1134"/>
          <w:tab w:val="clear" w:pos="1418"/>
          <w:tab w:val="clear" w:pos="9072"/>
        </w:tabs>
        <w:spacing w:after="0"/>
        <w:jc w:val="both"/>
        <w:rPr>
          <w:rFonts w:cs="Arial"/>
          <w:b/>
          <w:kern w:val="28"/>
          <w:sz w:val="32"/>
        </w:rPr>
      </w:pPr>
      <w:r w:rsidRPr="004E2B72">
        <w:rPr>
          <w:rFonts w:cs="Arial"/>
        </w:rPr>
        <w:br w:type="page"/>
      </w:r>
    </w:p>
    <w:p w14:paraId="45A2ED1F" w14:textId="60403399" w:rsidR="007B79DA" w:rsidRPr="004E2B72" w:rsidRDefault="007B79DA" w:rsidP="00073E78">
      <w:pPr>
        <w:pStyle w:val="Nadpis1"/>
        <w:jc w:val="both"/>
        <w:rPr>
          <w:rFonts w:cs="Arial"/>
        </w:rPr>
      </w:pPr>
      <w:bookmarkStart w:id="55" w:name="_Toc120784699"/>
      <w:r w:rsidRPr="004E2B72">
        <w:rPr>
          <w:rFonts w:cs="Arial"/>
        </w:rPr>
        <w:t>Přílohy</w:t>
      </w:r>
      <w:bookmarkEnd w:id="55"/>
    </w:p>
    <w:p w14:paraId="1AE8BC71" w14:textId="321BD056" w:rsidR="007B79DA" w:rsidRPr="004E2B72" w:rsidRDefault="007B79DA" w:rsidP="00073E78">
      <w:pPr>
        <w:pStyle w:val="Nadpis2"/>
        <w:jc w:val="both"/>
        <w:rPr>
          <w:rFonts w:cs="Arial"/>
        </w:rPr>
      </w:pPr>
      <w:bookmarkStart w:id="56" w:name="_Ref438115108"/>
      <w:bookmarkStart w:id="57" w:name="_Ref115686487"/>
      <w:bookmarkStart w:id="58" w:name="_Toc120784700"/>
      <w:r w:rsidRPr="004E2B72">
        <w:rPr>
          <w:rFonts w:cs="Arial"/>
        </w:rPr>
        <w:t>Příloha 1:</w:t>
      </w:r>
      <w:bookmarkStart w:id="59" w:name="_Ref438115168"/>
      <w:bookmarkStart w:id="60" w:name="_Ref438145943"/>
      <w:bookmarkEnd w:id="56"/>
      <w:r w:rsidR="00FA183E" w:rsidRPr="004E2B72">
        <w:rPr>
          <w:rFonts w:cs="Arial"/>
        </w:rPr>
        <w:t xml:space="preserve"> </w:t>
      </w:r>
      <w:r w:rsidRPr="004E2B72">
        <w:rPr>
          <w:rFonts w:cs="Arial"/>
        </w:rPr>
        <w:t>Úplná struktura nákladového modelu</w:t>
      </w:r>
      <w:bookmarkEnd w:id="57"/>
      <w:bookmarkEnd w:id="58"/>
      <w:bookmarkEnd w:id="59"/>
      <w:bookmarkEnd w:id="60"/>
    </w:p>
    <w:p w14:paraId="69B0AC3C" w14:textId="77777777" w:rsidR="006C3B6D" w:rsidRPr="004E2B72" w:rsidRDefault="006C3B6D" w:rsidP="00073E78">
      <w:pPr>
        <w:pStyle w:val="Zkladntext"/>
        <w:jc w:val="both"/>
        <w:rPr>
          <w:rFonts w:cs="Arial"/>
        </w:rPr>
      </w:pPr>
      <w:r w:rsidRPr="004E2B72">
        <w:rPr>
          <w:rFonts w:cs="Arial"/>
        </w:rPr>
        <w:t>V této kapitole je podrobněji rozvedena hierarchická struktura modelu nositelů nákladů pro ukazatel TCO.</w:t>
      </w:r>
    </w:p>
    <w:p w14:paraId="06602D6B" w14:textId="69F3E545" w:rsidR="006C3B6D" w:rsidRPr="004E2B72" w:rsidRDefault="006C3B6D" w:rsidP="00073E78">
      <w:pPr>
        <w:pStyle w:val="Zkladntext"/>
        <w:jc w:val="both"/>
        <w:rPr>
          <w:rFonts w:cs="Arial"/>
        </w:rPr>
      </w:pPr>
      <w:r w:rsidRPr="004E2B72">
        <w:rPr>
          <w:rFonts w:cs="Arial"/>
        </w:rPr>
        <w:t xml:space="preserve">Nejprve je uveden grafický diagram obsahující nákladové kategorie a nákladové komponenty. Ten navazuje na stručný přehled nákladových kategorií podle etap a fází životního cyklu ICT řešení, uvedený výše v kapitole </w:t>
      </w:r>
      <w:r w:rsidRPr="004E2B72">
        <w:rPr>
          <w:rFonts w:cs="Arial"/>
        </w:rPr>
        <w:fldChar w:fldCharType="begin"/>
      </w:r>
      <w:r w:rsidRPr="004E2B72">
        <w:rPr>
          <w:rFonts w:cs="Arial"/>
        </w:rPr>
        <w:instrText xml:space="preserve"> REF _Ref115686757 \r \h </w:instrText>
      </w:r>
      <w:r w:rsidR="004E2B72">
        <w:rPr>
          <w:rFonts w:cs="Arial"/>
        </w:rPr>
        <w:instrText xml:space="preserve"> \* MERGEFORMAT </w:instrText>
      </w:r>
      <w:r w:rsidRPr="004E2B72">
        <w:rPr>
          <w:rFonts w:cs="Arial"/>
        </w:rPr>
      </w:r>
      <w:r w:rsidRPr="004E2B72">
        <w:rPr>
          <w:rFonts w:cs="Arial"/>
        </w:rPr>
        <w:fldChar w:fldCharType="separate"/>
      </w:r>
      <w:r w:rsidRPr="004E2B72">
        <w:rPr>
          <w:rFonts w:cs="Arial"/>
        </w:rPr>
        <w:t>2.3.2</w:t>
      </w:r>
      <w:r w:rsidRPr="004E2B72">
        <w:rPr>
          <w:rFonts w:cs="Arial"/>
        </w:rPr>
        <w:fldChar w:fldCharType="end"/>
      </w:r>
      <w:r w:rsidRPr="004E2B72">
        <w:rPr>
          <w:rFonts w:cs="Arial"/>
        </w:rPr>
        <w:t xml:space="preserve"> - </w:t>
      </w:r>
      <w:r w:rsidRPr="004E2B72">
        <w:rPr>
          <w:rFonts w:cs="Arial"/>
        </w:rPr>
        <w:fldChar w:fldCharType="begin"/>
      </w:r>
      <w:r w:rsidRPr="004E2B72">
        <w:rPr>
          <w:rFonts w:cs="Arial"/>
        </w:rPr>
        <w:instrText xml:space="preserve"> REF _Ref115686757 \h </w:instrText>
      </w:r>
      <w:r w:rsidR="004E2B72">
        <w:rPr>
          <w:rFonts w:cs="Arial"/>
        </w:rPr>
        <w:instrText xml:space="preserve"> \* MERGEFORMAT </w:instrText>
      </w:r>
      <w:r w:rsidRPr="004E2B72">
        <w:rPr>
          <w:rFonts w:cs="Arial"/>
        </w:rPr>
      </w:r>
      <w:r w:rsidRPr="004E2B72">
        <w:rPr>
          <w:rFonts w:cs="Arial"/>
        </w:rPr>
        <w:fldChar w:fldCharType="separate"/>
      </w:r>
      <w:r w:rsidRPr="004E2B72">
        <w:rPr>
          <w:rFonts w:cs="Arial"/>
        </w:rPr>
        <w:t>Model TCO – účelové členění ICT nákladů VS</w:t>
      </w:r>
      <w:r w:rsidRPr="004E2B72">
        <w:rPr>
          <w:rFonts w:cs="Arial"/>
        </w:rPr>
        <w:fldChar w:fldCharType="end"/>
      </w:r>
      <w:r w:rsidRPr="004E2B72">
        <w:rPr>
          <w:rFonts w:cs="Arial"/>
        </w:rPr>
        <w:t>.</w:t>
      </w:r>
    </w:p>
    <w:p w14:paraId="757076FE" w14:textId="77777777" w:rsidR="00924F7A" w:rsidRPr="004E2B72" w:rsidRDefault="00924F7A" w:rsidP="00073E78">
      <w:pPr>
        <w:pStyle w:val="Zkladntext"/>
        <w:jc w:val="both"/>
        <w:rPr>
          <w:rFonts w:cs="Arial"/>
        </w:rPr>
      </w:pPr>
    </w:p>
    <w:p w14:paraId="019CAC54" w14:textId="7526B279" w:rsidR="004B10AD" w:rsidRPr="004E2B72" w:rsidRDefault="00924F7A" w:rsidP="00073E78">
      <w:pPr>
        <w:pStyle w:val="Zkladntext"/>
        <w:jc w:val="both"/>
        <w:rPr>
          <w:rFonts w:cs="Arial"/>
        </w:rPr>
      </w:pPr>
      <w:r w:rsidRPr="004E2B72">
        <w:rPr>
          <w:rFonts w:cs="Arial"/>
          <w:noProof/>
        </w:rPr>
        <w:drawing>
          <wp:inline distT="0" distB="0" distL="0" distR="0" wp14:anchorId="220C2254" wp14:editId="68486273">
            <wp:extent cx="6025081" cy="6999804"/>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0366" cy="7017561"/>
                    </a:xfrm>
                    <a:prstGeom prst="rect">
                      <a:avLst/>
                    </a:prstGeom>
                    <a:noFill/>
                  </pic:spPr>
                </pic:pic>
              </a:graphicData>
            </a:graphic>
          </wp:inline>
        </w:drawing>
      </w:r>
    </w:p>
    <w:p w14:paraId="66C51313" w14:textId="5543039A" w:rsidR="007B79DA" w:rsidRPr="004E2B72" w:rsidRDefault="007B79DA" w:rsidP="00073E78">
      <w:pPr>
        <w:pStyle w:val="Zkladntext"/>
        <w:jc w:val="both"/>
        <w:rPr>
          <w:rFonts w:cs="Arial"/>
        </w:rPr>
      </w:pPr>
      <w:r w:rsidRPr="004E2B72">
        <w:rPr>
          <w:rFonts w:cs="Arial"/>
        </w:rPr>
        <w:t xml:space="preserve">Následující tabulka </w:t>
      </w:r>
      <w:r w:rsidR="003D6E0A" w:rsidRPr="004E2B72">
        <w:rPr>
          <w:rFonts w:cs="Arial"/>
        </w:rPr>
        <w:t>doplňuje model TCO o úplný výčet dosud identifikovaných nákladových prvků pro jednotlivé nákladové komponenty a kategorie.</w:t>
      </w:r>
    </w:p>
    <w:p w14:paraId="53017D24" w14:textId="78D7FA40" w:rsidR="003D6E0A" w:rsidRPr="004E2B72" w:rsidRDefault="00E61690" w:rsidP="00073E78">
      <w:pPr>
        <w:pStyle w:val="Zkladntext"/>
        <w:jc w:val="both"/>
        <w:rPr>
          <w:rFonts w:cs="Arial"/>
        </w:rPr>
      </w:pPr>
      <w:r w:rsidRPr="004E2B72">
        <w:rPr>
          <w:rFonts w:cs="Arial"/>
        </w:rPr>
        <w:t>Tabulka bude doplňována další prací týmu OHA ve spolupráci s informatiky a ekonomy veřejné správy a vysokých škol.</w:t>
      </w:r>
    </w:p>
    <w:tbl>
      <w:tblPr>
        <w:tblStyle w:val="Style1"/>
        <w:tblW w:w="9606" w:type="dxa"/>
        <w:tblLook w:val="04A0" w:firstRow="1" w:lastRow="0" w:firstColumn="1" w:lastColumn="0" w:noHBand="0" w:noVBand="1"/>
      </w:tblPr>
      <w:tblGrid>
        <w:gridCol w:w="1217"/>
        <w:gridCol w:w="2219"/>
        <w:gridCol w:w="6170"/>
      </w:tblGrid>
      <w:tr w:rsidR="003D6E0A" w:rsidRPr="004E2B72" w14:paraId="12B45A0B" w14:textId="5614E393" w:rsidTr="00314FC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4" w:type="dxa"/>
          </w:tcPr>
          <w:p w14:paraId="78BDE81B" w14:textId="4D7494F0" w:rsidR="003D6E0A" w:rsidRPr="004E2B72" w:rsidRDefault="003D6E0A" w:rsidP="00073E78">
            <w:pPr>
              <w:spacing w:after="0"/>
              <w:jc w:val="both"/>
              <w:rPr>
                <w:rFonts w:cs="Arial"/>
              </w:rPr>
            </w:pPr>
            <w:r w:rsidRPr="004E2B72">
              <w:rPr>
                <w:rFonts w:cs="Arial"/>
              </w:rPr>
              <w:t>Nákladová kategorie</w:t>
            </w:r>
          </w:p>
        </w:tc>
        <w:tc>
          <w:tcPr>
            <w:tcW w:w="2235" w:type="dxa"/>
          </w:tcPr>
          <w:p w14:paraId="4A37B20B" w14:textId="6D4F3288" w:rsidR="003D6E0A" w:rsidRPr="004E2B72" w:rsidRDefault="003D6E0A" w:rsidP="00073E78">
            <w:pPr>
              <w:spacing w:after="0"/>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cs="Arial"/>
              </w:rPr>
              <w:t>Nákladová komponenta</w:t>
            </w:r>
          </w:p>
        </w:tc>
        <w:tc>
          <w:tcPr>
            <w:tcW w:w="6237" w:type="dxa"/>
          </w:tcPr>
          <w:p w14:paraId="7A6B5CA9" w14:textId="1252774E" w:rsidR="003D6E0A" w:rsidRPr="004E2B72" w:rsidRDefault="003D6E0A" w:rsidP="00073E78">
            <w:pPr>
              <w:spacing w:after="0"/>
              <w:jc w:val="both"/>
              <w:cnfStyle w:val="100000000000" w:firstRow="1" w:lastRow="0" w:firstColumn="0" w:lastColumn="0" w:oddVBand="0" w:evenVBand="0" w:oddHBand="0" w:evenHBand="0" w:firstRowFirstColumn="0" w:firstRowLastColumn="0" w:lastRowFirstColumn="0" w:lastRowLastColumn="0"/>
              <w:rPr>
                <w:rFonts w:cs="Arial"/>
              </w:rPr>
            </w:pPr>
            <w:r w:rsidRPr="004E2B72">
              <w:rPr>
                <w:rFonts w:cs="Arial"/>
              </w:rPr>
              <w:t>Nákladový prvek</w:t>
            </w:r>
          </w:p>
        </w:tc>
      </w:tr>
      <w:tr w:rsidR="003D6E0A" w:rsidRPr="004E2B72" w14:paraId="4DFD79FD" w14:textId="728BEA28" w:rsidTr="00314FC1">
        <w:trPr>
          <w:trHeight w:val="20"/>
        </w:trPr>
        <w:tc>
          <w:tcPr>
            <w:cnfStyle w:val="001000000000" w:firstRow="0" w:lastRow="0" w:firstColumn="1" w:lastColumn="0" w:oddVBand="0" w:evenVBand="0" w:oddHBand="0" w:evenHBand="0" w:firstRowFirstColumn="0" w:firstRowLastColumn="0" w:lastRowFirstColumn="0" w:lastRowLastColumn="0"/>
            <w:tcW w:w="9606" w:type="dxa"/>
            <w:gridSpan w:val="3"/>
          </w:tcPr>
          <w:p w14:paraId="7CA306A6" w14:textId="6C07115E" w:rsidR="003D6E0A" w:rsidRPr="004E2B72" w:rsidRDefault="003D6E0A" w:rsidP="00073E78">
            <w:pPr>
              <w:spacing w:after="0"/>
              <w:jc w:val="both"/>
              <w:rPr>
                <w:rFonts w:cs="Arial"/>
              </w:rPr>
            </w:pPr>
            <w:r w:rsidRPr="004E2B72">
              <w:rPr>
                <w:rFonts w:cs="Arial"/>
              </w:rPr>
              <w:t>A. P</w:t>
            </w:r>
            <w:r w:rsidR="004B10AD" w:rsidRPr="004E2B72">
              <w:rPr>
                <w:rFonts w:cs="Arial"/>
              </w:rPr>
              <w:t xml:space="preserve">lánování, </w:t>
            </w:r>
            <w:r w:rsidRPr="004E2B72">
              <w:rPr>
                <w:rFonts w:cs="Arial"/>
              </w:rPr>
              <w:t xml:space="preserve">analýzy, tvorba zadání, výběr řešení a dodavatele – náklady nákupního procesu </w:t>
            </w:r>
          </w:p>
        </w:tc>
      </w:tr>
      <w:tr w:rsidR="009B5A5D" w:rsidRPr="004E2B72" w14:paraId="4E24157B"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478CC3EE" w14:textId="77777777" w:rsidR="009B5A5D" w:rsidRPr="004E2B72" w:rsidRDefault="009B5A5D" w:rsidP="00073E78">
            <w:pPr>
              <w:spacing w:after="0"/>
              <w:jc w:val="both"/>
              <w:rPr>
                <w:rFonts w:cs="Arial"/>
              </w:rPr>
            </w:pPr>
          </w:p>
        </w:tc>
        <w:tc>
          <w:tcPr>
            <w:tcW w:w="8472" w:type="dxa"/>
            <w:gridSpan w:val="2"/>
          </w:tcPr>
          <w:p w14:paraId="45CC6AA5" w14:textId="67A18711" w:rsidR="009B5A5D" w:rsidRPr="004E2B72" w:rsidRDefault="009B5A5D"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 xml:space="preserve">A1. </w:t>
            </w:r>
            <w:r w:rsidR="00FA183E" w:rsidRPr="004E2B72">
              <w:rPr>
                <w:rFonts w:cs="Arial"/>
              </w:rPr>
              <w:t>P</w:t>
            </w:r>
            <w:r w:rsidRPr="004E2B72">
              <w:rPr>
                <w:rFonts w:cs="Arial"/>
              </w:rPr>
              <w:t>rojektový záměr a úvodní studie (studie proveditelnosti, feasibility study, zadávací dokumentace</w:t>
            </w:r>
            <w:r w:rsidR="00915EB2" w:rsidRPr="004E2B72">
              <w:rPr>
                <w:rFonts w:cs="Arial"/>
              </w:rPr>
              <w:t>, marketingový průzkum</w:t>
            </w:r>
            <w:r w:rsidR="00823ED8" w:rsidRPr="004E2B72">
              <w:rPr>
                <w:rFonts w:cs="Arial"/>
              </w:rPr>
              <w:t>, bezpečnost</w:t>
            </w:r>
            <w:r w:rsidRPr="004E2B72">
              <w:rPr>
                <w:rFonts w:cs="Arial"/>
              </w:rPr>
              <w:t>)</w:t>
            </w:r>
          </w:p>
        </w:tc>
      </w:tr>
      <w:tr w:rsidR="009B5A5D" w:rsidRPr="004E2B72" w14:paraId="1718F2B9"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053387C9" w14:textId="77777777" w:rsidR="009B5A5D" w:rsidRPr="004E2B72" w:rsidRDefault="009B5A5D" w:rsidP="00073E78">
            <w:pPr>
              <w:spacing w:after="0"/>
              <w:jc w:val="both"/>
              <w:rPr>
                <w:rFonts w:cs="Arial"/>
              </w:rPr>
            </w:pPr>
          </w:p>
        </w:tc>
        <w:tc>
          <w:tcPr>
            <w:tcW w:w="2235" w:type="dxa"/>
          </w:tcPr>
          <w:p w14:paraId="24ECEC7C" w14:textId="77777777" w:rsidR="009B5A5D" w:rsidRPr="004E2B72" w:rsidRDefault="009B5A5D"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303908F2" w14:textId="77777777" w:rsidR="009B5A5D" w:rsidRPr="004E2B72" w:rsidRDefault="009B5A5D"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9B5A5D" w:rsidRPr="004E2B72" w14:paraId="6274CE21"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9201B90" w14:textId="77777777" w:rsidR="009B5A5D" w:rsidRPr="004E2B72" w:rsidRDefault="009B5A5D" w:rsidP="00073E78">
            <w:pPr>
              <w:spacing w:after="0"/>
              <w:jc w:val="both"/>
              <w:rPr>
                <w:rFonts w:cs="Arial"/>
              </w:rPr>
            </w:pPr>
          </w:p>
        </w:tc>
        <w:tc>
          <w:tcPr>
            <w:tcW w:w="8472" w:type="dxa"/>
            <w:gridSpan w:val="2"/>
          </w:tcPr>
          <w:p w14:paraId="339E7ED7" w14:textId="51154B20" w:rsidR="009B5A5D" w:rsidRPr="004E2B72" w:rsidRDefault="009B5A5D"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 xml:space="preserve">A2. </w:t>
            </w:r>
            <w:r w:rsidR="00FA183E" w:rsidRPr="004E2B72">
              <w:rPr>
                <w:rFonts w:cs="Arial"/>
              </w:rPr>
              <w:t>P</w:t>
            </w:r>
            <w:r w:rsidRPr="004E2B72">
              <w:rPr>
                <w:rFonts w:cs="Arial"/>
              </w:rPr>
              <w:t>ráce spojené s výběrem SW aplikace a jejího dodavatele a výběrem HW a jeho dodavatelů</w:t>
            </w:r>
            <w:r w:rsidR="00823ED8" w:rsidRPr="004E2B72">
              <w:rPr>
                <w:rFonts w:cs="Arial"/>
              </w:rPr>
              <w:t xml:space="preserve"> vč. bezpečnosti</w:t>
            </w:r>
          </w:p>
        </w:tc>
      </w:tr>
      <w:tr w:rsidR="00FA183E" w:rsidRPr="004E2B72" w14:paraId="0D231605" w14:textId="77777777" w:rsidTr="00A16C06">
        <w:trPr>
          <w:trHeight w:val="20"/>
        </w:trPr>
        <w:tc>
          <w:tcPr>
            <w:cnfStyle w:val="001000000000" w:firstRow="0" w:lastRow="0" w:firstColumn="1" w:lastColumn="0" w:oddVBand="0" w:evenVBand="0" w:oddHBand="0" w:evenHBand="0" w:firstRowFirstColumn="0" w:firstRowLastColumn="0" w:lastRowFirstColumn="0" w:lastRowLastColumn="0"/>
            <w:tcW w:w="0" w:type="dxa"/>
            <w:vMerge/>
          </w:tcPr>
          <w:p w14:paraId="55979D2A" w14:textId="77777777" w:rsidR="00FA183E" w:rsidRPr="004E2B72" w:rsidRDefault="00FA183E" w:rsidP="00073E78">
            <w:pPr>
              <w:spacing w:after="0"/>
              <w:jc w:val="both"/>
              <w:rPr>
                <w:rFonts w:cs="Arial"/>
              </w:rPr>
            </w:pPr>
          </w:p>
        </w:tc>
        <w:tc>
          <w:tcPr>
            <w:tcW w:w="2235" w:type="dxa"/>
          </w:tcPr>
          <w:p w14:paraId="5BAE4A83" w14:textId="77777777" w:rsidR="00FA183E" w:rsidRPr="004E2B72" w:rsidRDefault="00FA183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34752542" w14:textId="18D26D0D" w:rsidR="00FA183E" w:rsidRPr="004E2B72" w:rsidRDefault="00FA183E"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3D6E0A" w:rsidRPr="004E2B72" w14:paraId="52EE2D1E" w14:textId="154313E8" w:rsidTr="00314FC1">
        <w:trPr>
          <w:trHeight w:val="20"/>
        </w:trPr>
        <w:tc>
          <w:tcPr>
            <w:cnfStyle w:val="001000000000" w:firstRow="0" w:lastRow="0" w:firstColumn="1" w:lastColumn="0" w:oddVBand="0" w:evenVBand="0" w:oddHBand="0" w:evenHBand="0" w:firstRowFirstColumn="0" w:firstRowLastColumn="0" w:lastRowFirstColumn="0" w:lastRowLastColumn="0"/>
            <w:tcW w:w="9606" w:type="dxa"/>
            <w:gridSpan w:val="3"/>
          </w:tcPr>
          <w:p w14:paraId="495F59A9" w14:textId="42F63CDC" w:rsidR="003D6E0A" w:rsidRPr="004E2B72" w:rsidRDefault="003D6E0A" w:rsidP="00073E78">
            <w:pPr>
              <w:spacing w:after="0"/>
              <w:jc w:val="both"/>
              <w:rPr>
                <w:rFonts w:cs="Arial"/>
              </w:rPr>
            </w:pPr>
            <w:r w:rsidRPr="004E2B72">
              <w:rPr>
                <w:rFonts w:cs="Arial"/>
              </w:rPr>
              <w:t xml:space="preserve">B. </w:t>
            </w:r>
            <w:r w:rsidR="004B10AD" w:rsidRPr="004E2B72">
              <w:rPr>
                <w:rFonts w:cs="Arial"/>
              </w:rPr>
              <w:t xml:space="preserve">Pořízení </w:t>
            </w:r>
            <w:r w:rsidRPr="004E2B72">
              <w:rPr>
                <w:rFonts w:cs="Arial"/>
              </w:rPr>
              <w:t xml:space="preserve">SW a HW pro projekt </w:t>
            </w:r>
            <w:r w:rsidR="004B10AD" w:rsidRPr="004E2B72">
              <w:rPr>
                <w:rFonts w:cs="Arial"/>
              </w:rPr>
              <w:t xml:space="preserve">nákupem </w:t>
            </w:r>
            <w:r w:rsidRPr="004E2B72">
              <w:rPr>
                <w:rFonts w:cs="Arial"/>
              </w:rPr>
              <w:t xml:space="preserve">(ne v případě </w:t>
            </w:r>
            <w:r w:rsidR="00A71AB2" w:rsidRPr="004E2B72">
              <w:rPr>
                <w:rFonts w:cs="Arial"/>
              </w:rPr>
              <w:t>Cloud</w:t>
            </w:r>
            <w:r w:rsidRPr="004E2B72">
              <w:rPr>
                <w:rFonts w:cs="Arial"/>
              </w:rPr>
              <w:t>)</w:t>
            </w:r>
          </w:p>
        </w:tc>
      </w:tr>
      <w:tr w:rsidR="00073C19" w:rsidRPr="004E2B72" w14:paraId="00D4856F"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63A0A828" w14:textId="77777777" w:rsidR="00073C19" w:rsidRPr="004E2B72" w:rsidRDefault="00073C19" w:rsidP="00073E78">
            <w:pPr>
              <w:spacing w:after="0"/>
              <w:jc w:val="both"/>
              <w:rPr>
                <w:rFonts w:cs="Arial"/>
              </w:rPr>
            </w:pPr>
          </w:p>
        </w:tc>
        <w:tc>
          <w:tcPr>
            <w:tcW w:w="8472" w:type="dxa"/>
            <w:gridSpan w:val="2"/>
          </w:tcPr>
          <w:p w14:paraId="6E31A003" w14:textId="4B098BD0"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 xml:space="preserve">B1. Stavební, provozní a komunikační infrastruktura </w:t>
            </w:r>
          </w:p>
        </w:tc>
      </w:tr>
      <w:tr w:rsidR="00073C19" w:rsidRPr="004E2B72" w14:paraId="49C5497B"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32CECE30" w14:textId="77777777" w:rsidR="00073C19" w:rsidRPr="004E2B72" w:rsidRDefault="00073C19" w:rsidP="00073E78">
            <w:pPr>
              <w:spacing w:after="0"/>
              <w:jc w:val="both"/>
              <w:rPr>
                <w:rFonts w:cs="Arial"/>
              </w:rPr>
            </w:pPr>
          </w:p>
        </w:tc>
        <w:tc>
          <w:tcPr>
            <w:tcW w:w="2235" w:type="dxa"/>
          </w:tcPr>
          <w:p w14:paraId="42C8E4CC"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2FFE4C63" w14:textId="03103C30"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B1.1 Stavební infrastruktura</w:t>
            </w:r>
          </w:p>
        </w:tc>
      </w:tr>
      <w:tr w:rsidR="00073C19" w:rsidRPr="004E2B72" w14:paraId="5817766D"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3F91A75D" w14:textId="77777777" w:rsidR="00073C19" w:rsidRPr="004E2B72" w:rsidRDefault="00073C19" w:rsidP="00073E78">
            <w:pPr>
              <w:spacing w:after="0"/>
              <w:jc w:val="both"/>
              <w:rPr>
                <w:rFonts w:cs="Arial"/>
              </w:rPr>
            </w:pPr>
          </w:p>
        </w:tc>
        <w:tc>
          <w:tcPr>
            <w:tcW w:w="2235" w:type="dxa"/>
          </w:tcPr>
          <w:p w14:paraId="51CE5EBF"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7515958F" w14:textId="43070053"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 xml:space="preserve">B1.2 Provozní technologie (regály, </w:t>
            </w:r>
            <w:r w:rsidR="004E3472" w:rsidRPr="004E2B72">
              <w:rPr>
                <w:rFonts w:cs="Arial"/>
              </w:rPr>
              <w:t xml:space="preserve">racky, </w:t>
            </w:r>
            <w:r w:rsidRPr="004E2B72">
              <w:rPr>
                <w:rFonts w:cs="Arial"/>
              </w:rPr>
              <w:t>vytápění, chlazení, zabezpečení, apod.)</w:t>
            </w:r>
          </w:p>
        </w:tc>
      </w:tr>
      <w:tr w:rsidR="00073C19" w:rsidRPr="004E2B72" w14:paraId="40F89FEB"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E7F8EF9" w14:textId="77777777" w:rsidR="00073C19" w:rsidRPr="004E2B72" w:rsidRDefault="00073C19" w:rsidP="00073E78">
            <w:pPr>
              <w:spacing w:after="0"/>
              <w:jc w:val="both"/>
              <w:rPr>
                <w:rFonts w:cs="Arial"/>
              </w:rPr>
            </w:pPr>
          </w:p>
        </w:tc>
        <w:tc>
          <w:tcPr>
            <w:tcW w:w="2235" w:type="dxa"/>
          </w:tcPr>
          <w:p w14:paraId="1E9CB882"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7D5F02BA" w14:textId="1546CF3E"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 xml:space="preserve">B1.3 Napojení na </w:t>
            </w:r>
            <w:r w:rsidR="004E3472" w:rsidRPr="004E2B72">
              <w:rPr>
                <w:rFonts w:cs="Arial"/>
              </w:rPr>
              <w:t>interní/</w:t>
            </w:r>
            <w:r w:rsidRPr="004E2B72">
              <w:rPr>
                <w:rFonts w:cs="Arial"/>
              </w:rPr>
              <w:t>externí komunikační sítě</w:t>
            </w:r>
            <w:r w:rsidR="004E3472" w:rsidRPr="004E2B72">
              <w:rPr>
                <w:rFonts w:cs="Arial"/>
              </w:rPr>
              <w:t xml:space="preserve"> (LAN, WLAN, Internet)</w:t>
            </w:r>
          </w:p>
        </w:tc>
      </w:tr>
      <w:tr w:rsidR="00073C19" w:rsidRPr="004E2B72" w14:paraId="61EB7FEB"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A1B6528" w14:textId="77777777" w:rsidR="00073C19" w:rsidRPr="004E2B72" w:rsidRDefault="00073C19" w:rsidP="00073E78">
            <w:pPr>
              <w:spacing w:after="0"/>
              <w:jc w:val="both"/>
              <w:rPr>
                <w:rFonts w:cs="Arial"/>
              </w:rPr>
            </w:pPr>
          </w:p>
        </w:tc>
        <w:tc>
          <w:tcPr>
            <w:tcW w:w="8472" w:type="dxa"/>
            <w:gridSpan w:val="2"/>
          </w:tcPr>
          <w:p w14:paraId="5CEF4308" w14:textId="47D67313"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B2. IT technologie (HW a interní sítě)</w:t>
            </w:r>
          </w:p>
        </w:tc>
      </w:tr>
      <w:tr w:rsidR="00073C19" w:rsidRPr="004E2B72" w14:paraId="65C558FC"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187F518" w14:textId="77777777" w:rsidR="00073C19" w:rsidRPr="004E2B72" w:rsidRDefault="00073C19" w:rsidP="00073E78">
            <w:pPr>
              <w:spacing w:after="0"/>
              <w:jc w:val="both"/>
              <w:rPr>
                <w:rFonts w:cs="Arial"/>
              </w:rPr>
            </w:pPr>
          </w:p>
        </w:tc>
        <w:tc>
          <w:tcPr>
            <w:tcW w:w="2235" w:type="dxa"/>
          </w:tcPr>
          <w:p w14:paraId="77D26FA9"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5F128D58" w14:textId="44E4440A"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B2.1 Výpočetní HW</w:t>
            </w:r>
          </w:p>
        </w:tc>
      </w:tr>
      <w:tr w:rsidR="00073C19" w:rsidRPr="004E2B72" w14:paraId="31179D76"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0E3C6F81" w14:textId="77777777" w:rsidR="00073C19" w:rsidRPr="004E2B72" w:rsidRDefault="00073C19" w:rsidP="00073E78">
            <w:pPr>
              <w:spacing w:after="0"/>
              <w:jc w:val="both"/>
              <w:rPr>
                <w:rFonts w:cs="Arial"/>
              </w:rPr>
            </w:pPr>
          </w:p>
        </w:tc>
        <w:tc>
          <w:tcPr>
            <w:tcW w:w="2235" w:type="dxa"/>
          </w:tcPr>
          <w:p w14:paraId="3F8E544C"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5244B66F" w14:textId="5BE7EC2E"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B2.2 Interní síťový HW</w:t>
            </w:r>
          </w:p>
        </w:tc>
      </w:tr>
      <w:tr w:rsidR="00073C19" w:rsidRPr="004E2B72" w14:paraId="179E06B1"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F2CFF71" w14:textId="77777777" w:rsidR="00073C19" w:rsidRPr="004E2B72" w:rsidRDefault="00073C19" w:rsidP="00073E78">
            <w:pPr>
              <w:spacing w:after="0"/>
              <w:jc w:val="both"/>
              <w:rPr>
                <w:rFonts w:cs="Arial"/>
              </w:rPr>
            </w:pPr>
          </w:p>
        </w:tc>
        <w:tc>
          <w:tcPr>
            <w:tcW w:w="2235" w:type="dxa"/>
          </w:tcPr>
          <w:p w14:paraId="1C50509E"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50318A93" w14:textId="04C45CED"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B2.3 Koncová zařízení uživatele</w:t>
            </w:r>
          </w:p>
        </w:tc>
      </w:tr>
      <w:tr w:rsidR="00073C19" w:rsidRPr="004E2B72" w14:paraId="63219266"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36007DA2" w14:textId="77777777" w:rsidR="00073C19" w:rsidRPr="004E2B72" w:rsidRDefault="00073C19" w:rsidP="00073E78">
            <w:pPr>
              <w:spacing w:after="0"/>
              <w:jc w:val="both"/>
              <w:rPr>
                <w:rFonts w:cs="Arial"/>
              </w:rPr>
            </w:pPr>
          </w:p>
        </w:tc>
        <w:tc>
          <w:tcPr>
            <w:tcW w:w="8472" w:type="dxa"/>
            <w:gridSpan w:val="2"/>
          </w:tcPr>
          <w:p w14:paraId="7DF2B548" w14:textId="4ED1DD63"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B3. Licence systémového SW – základní SW nutný pro provoz aplikace (OS, SŘBD atd.)</w:t>
            </w:r>
          </w:p>
        </w:tc>
      </w:tr>
      <w:tr w:rsidR="00073C19" w:rsidRPr="004E2B72" w14:paraId="56157265"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89EC7B8" w14:textId="77777777" w:rsidR="00073C19" w:rsidRPr="004E2B72" w:rsidRDefault="00073C19" w:rsidP="00073E78">
            <w:pPr>
              <w:spacing w:after="0"/>
              <w:jc w:val="both"/>
              <w:rPr>
                <w:rFonts w:cs="Arial"/>
              </w:rPr>
            </w:pPr>
          </w:p>
        </w:tc>
        <w:tc>
          <w:tcPr>
            <w:tcW w:w="2235" w:type="dxa"/>
          </w:tcPr>
          <w:p w14:paraId="0E60CACB"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32508545" w14:textId="45B7672E"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B3.1 Serverový systémový SW</w:t>
            </w:r>
          </w:p>
        </w:tc>
      </w:tr>
      <w:tr w:rsidR="00073C19" w:rsidRPr="004E2B72" w14:paraId="1D505D5E"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03499971" w14:textId="77777777" w:rsidR="00073C19" w:rsidRPr="004E2B72" w:rsidRDefault="00073C19" w:rsidP="00073E78">
            <w:pPr>
              <w:spacing w:after="0"/>
              <w:jc w:val="both"/>
              <w:rPr>
                <w:rFonts w:cs="Arial"/>
              </w:rPr>
            </w:pPr>
          </w:p>
        </w:tc>
        <w:tc>
          <w:tcPr>
            <w:tcW w:w="2235" w:type="dxa"/>
          </w:tcPr>
          <w:p w14:paraId="399042D7"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6E611430" w14:textId="1F5C59C2"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B3.2 Systémový SW pro koncová zařízení uživatele</w:t>
            </w:r>
          </w:p>
        </w:tc>
      </w:tr>
      <w:tr w:rsidR="00073C19" w:rsidRPr="004E2B72" w14:paraId="2094C95A"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785A407" w14:textId="77777777" w:rsidR="00073C19" w:rsidRPr="004E2B72" w:rsidRDefault="00073C19" w:rsidP="00073E78">
            <w:pPr>
              <w:spacing w:after="0"/>
              <w:jc w:val="both"/>
              <w:rPr>
                <w:rFonts w:cs="Arial"/>
              </w:rPr>
            </w:pPr>
          </w:p>
        </w:tc>
        <w:tc>
          <w:tcPr>
            <w:tcW w:w="2235" w:type="dxa"/>
          </w:tcPr>
          <w:p w14:paraId="5CF29A3A"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62137C4F" w14:textId="58EE080D"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B3.3 Middleware a integrační SW</w:t>
            </w:r>
          </w:p>
        </w:tc>
      </w:tr>
      <w:tr w:rsidR="00073C19" w:rsidRPr="004E2B72" w14:paraId="4A883EE1"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39A47DB2" w14:textId="77777777" w:rsidR="00073C19" w:rsidRPr="004E2B72" w:rsidRDefault="00073C19" w:rsidP="00073E78">
            <w:pPr>
              <w:spacing w:after="0"/>
              <w:jc w:val="both"/>
              <w:rPr>
                <w:rFonts w:cs="Arial"/>
              </w:rPr>
            </w:pPr>
          </w:p>
        </w:tc>
        <w:tc>
          <w:tcPr>
            <w:tcW w:w="8472" w:type="dxa"/>
            <w:gridSpan w:val="2"/>
          </w:tcPr>
          <w:p w14:paraId="4C2535A8" w14:textId="01A0246B"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B4. Licence vývojového SW prostředí pro vývoj aplikace, nebo pro úpravy standardního SW</w:t>
            </w:r>
          </w:p>
        </w:tc>
      </w:tr>
      <w:tr w:rsidR="00073C19" w:rsidRPr="004E2B72" w14:paraId="271834CD"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495123C" w14:textId="77777777" w:rsidR="00073C19" w:rsidRPr="004E2B72" w:rsidRDefault="00073C19" w:rsidP="00073E78">
            <w:pPr>
              <w:spacing w:after="0"/>
              <w:jc w:val="both"/>
              <w:rPr>
                <w:rFonts w:cs="Arial"/>
              </w:rPr>
            </w:pPr>
          </w:p>
        </w:tc>
        <w:tc>
          <w:tcPr>
            <w:tcW w:w="2235" w:type="dxa"/>
          </w:tcPr>
          <w:p w14:paraId="15E97785"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389AD633"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7C72D4FF"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067CC07B" w14:textId="77777777" w:rsidR="00073C19" w:rsidRPr="004E2B72" w:rsidRDefault="00073C19" w:rsidP="00073E78">
            <w:pPr>
              <w:spacing w:after="0"/>
              <w:jc w:val="both"/>
              <w:rPr>
                <w:rFonts w:cs="Arial"/>
              </w:rPr>
            </w:pPr>
          </w:p>
        </w:tc>
        <w:tc>
          <w:tcPr>
            <w:tcW w:w="8472" w:type="dxa"/>
            <w:gridSpan w:val="2"/>
          </w:tcPr>
          <w:p w14:paraId="06A82A7E" w14:textId="5FCCAF52"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B5. Pořízení aplikačního SW</w:t>
            </w:r>
          </w:p>
        </w:tc>
      </w:tr>
      <w:tr w:rsidR="00073C19" w:rsidRPr="004E2B72" w14:paraId="3F7F3E11"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EBF2258" w14:textId="77777777" w:rsidR="00073C19" w:rsidRPr="004E2B72" w:rsidRDefault="00073C19" w:rsidP="00073E78">
            <w:pPr>
              <w:spacing w:after="0"/>
              <w:jc w:val="both"/>
              <w:rPr>
                <w:rFonts w:cs="Arial"/>
              </w:rPr>
            </w:pPr>
          </w:p>
        </w:tc>
        <w:tc>
          <w:tcPr>
            <w:tcW w:w="2235" w:type="dxa"/>
          </w:tcPr>
          <w:p w14:paraId="259549FF" w14:textId="513CCF76"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6B448A6C" w14:textId="24EFD21D"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B5.1 Licence balíkového řešení</w:t>
            </w:r>
          </w:p>
        </w:tc>
      </w:tr>
      <w:tr w:rsidR="00073C19" w:rsidRPr="004E2B72" w14:paraId="45731586"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A9B1892" w14:textId="77777777" w:rsidR="00073C19" w:rsidRPr="004E2B72" w:rsidRDefault="00073C19" w:rsidP="00073E78">
            <w:pPr>
              <w:spacing w:after="0"/>
              <w:jc w:val="both"/>
              <w:rPr>
                <w:rFonts w:cs="Arial"/>
              </w:rPr>
            </w:pPr>
          </w:p>
        </w:tc>
        <w:tc>
          <w:tcPr>
            <w:tcW w:w="2235" w:type="dxa"/>
          </w:tcPr>
          <w:p w14:paraId="3B0A7BCC"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1C3C0406" w14:textId="079F10E8"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B5.2 Nákup vývoje na míru</w:t>
            </w:r>
          </w:p>
        </w:tc>
      </w:tr>
      <w:tr w:rsidR="00073C19" w:rsidRPr="004E2B72" w14:paraId="295EE9E3"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38B2712C" w14:textId="77777777" w:rsidR="00073C19" w:rsidRPr="004E2B72" w:rsidRDefault="00073C19" w:rsidP="00073E78">
            <w:pPr>
              <w:spacing w:after="0"/>
              <w:jc w:val="both"/>
              <w:rPr>
                <w:rFonts w:cs="Arial"/>
              </w:rPr>
            </w:pPr>
          </w:p>
        </w:tc>
        <w:tc>
          <w:tcPr>
            <w:tcW w:w="2235" w:type="dxa"/>
          </w:tcPr>
          <w:p w14:paraId="30AC7A7B"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63E37DD3" w14:textId="5866A4DA"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B5.3 Vývoj vlastními silami</w:t>
            </w:r>
          </w:p>
        </w:tc>
      </w:tr>
      <w:tr w:rsidR="00073C19" w:rsidRPr="004E2B72" w14:paraId="0AEC8C1B" w14:textId="77777777" w:rsidTr="00422466">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76F1E9B" w14:textId="77777777" w:rsidR="00073C19" w:rsidRPr="004E2B72" w:rsidRDefault="00073C19" w:rsidP="00073E78">
            <w:pPr>
              <w:spacing w:after="0"/>
              <w:jc w:val="both"/>
              <w:rPr>
                <w:rFonts w:cs="Arial"/>
              </w:rPr>
            </w:pPr>
          </w:p>
        </w:tc>
        <w:tc>
          <w:tcPr>
            <w:tcW w:w="8472" w:type="dxa"/>
            <w:gridSpan w:val="2"/>
          </w:tcPr>
          <w:p w14:paraId="2FB341B5" w14:textId="491B0D28"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B6. HW+SW zařízení (Appliance)</w:t>
            </w:r>
          </w:p>
        </w:tc>
      </w:tr>
      <w:tr w:rsidR="00073C19" w:rsidRPr="004E2B72" w14:paraId="1CC3CB06"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4014718" w14:textId="77777777" w:rsidR="00073C19" w:rsidRPr="004E2B72" w:rsidRDefault="00073C19" w:rsidP="00073E78">
            <w:pPr>
              <w:spacing w:after="0"/>
              <w:jc w:val="both"/>
              <w:rPr>
                <w:rFonts w:cs="Arial"/>
              </w:rPr>
            </w:pPr>
          </w:p>
        </w:tc>
        <w:tc>
          <w:tcPr>
            <w:tcW w:w="2235" w:type="dxa"/>
          </w:tcPr>
          <w:p w14:paraId="70114DF7"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62E8EC72"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7E69E5A6" w14:textId="77777777" w:rsidTr="00422466">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EFF06BC" w14:textId="77777777" w:rsidR="00073C19" w:rsidRPr="004E2B72" w:rsidRDefault="00073C19" w:rsidP="00073E78">
            <w:pPr>
              <w:spacing w:after="0"/>
              <w:jc w:val="both"/>
              <w:rPr>
                <w:rFonts w:cs="Arial"/>
              </w:rPr>
            </w:pPr>
          </w:p>
        </w:tc>
        <w:tc>
          <w:tcPr>
            <w:tcW w:w="8472" w:type="dxa"/>
            <w:gridSpan w:val="2"/>
          </w:tcPr>
          <w:p w14:paraId="0A587414" w14:textId="412CEFFA"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B7. Prostředky kybernetické bezpečnosti</w:t>
            </w:r>
          </w:p>
        </w:tc>
      </w:tr>
      <w:tr w:rsidR="00073C19" w:rsidRPr="004E2B72" w14:paraId="2D21AC40"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37046723" w14:textId="77777777" w:rsidR="00073C19" w:rsidRPr="004E2B72" w:rsidRDefault="00073C19" w:rsidP="00073E78">
            <w:pPr>
              <w:spacing w:after="0"/>
              <w:jc w:val="both"/>
              <w:rPr>
                <w:rFonts w:cs="Arial"/>
              </w:rPr>
            </w:pPr>
          </w:p>
        </w:tc>
        <w:tc>
          <w:tcPr>
            <w:tcW w:w="2235" w:type="dxa"/>
          </w:tcPr>
          <w:p w14:paraId="3EF5753E"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699FA8F5" w14:textId="0B4A5C32"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B7.1 Bezpečnostní HW</w:t>
            </w:r>
          </w:p>
        </w:tc>
      </w:tr>
      <w:tr w:rsidR="00073C19" w:rsidRPr="004E2B72" w14:paraId="59EA2FDA"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7F235C8" w14:textId="77777777" w:rsidR="00073C19" w:rsidRPr="004E2B72" w:rsidRDefault="00073C19" w:rsidP="00073E78">
            <w:pPr>
              <w:spacing w:after="0"/>
              <w:jc w:val="both"/>
              <w:rPr>
                <w:rFonts w:cs="Arial"/>
              </w:rPr>
            </w:pPr>
          </w:p>
        </w:tc>
        <w:tc>
          <w:tcPr>
            <w:tcW w:w="2235" w:type="dxa"/>
          </w:tcPr>
          <w:p w14:paraId="22062482"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60B34EFD" w14:textId="3F00647B"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B7.2 Bezpečnostní SW</w:t>
            </w:r>
          </w:p>
        </w:tc>
      </w:tr>
      <w:tr w:rsidR="00E16308" w:rsidRPr="004E2B72" w14:paraId="4CC32DB9" w14:textId="69FF92F1" w:rsidTr="00314FC1">
        <w:trPr>
          <w:trHeight w:val="20"/>
        </w:trPr>
        <w:tc>
          <w:tcPr>
            <w:cnfStyle w:val="001000000000" w:firstRow="0" w:lastRow="0" w:firstColumn="1" w:lastColumn="0" w:oddVBand="0" w:evenVBand="0" w:oddHBand="0" w:evenHBand="0" w:firstRowFirstColumn="0" w:firstRowLastColumn="0" w:lastRowFirstColumn="0" w:lastRowLastColumn="0"/>
            <w:tcW w:w="9606" w:type="dxa"/>
            <w:gridSpan w:val="3"/>
          </w:tcPr>
          <w:p w14:paraId="0CB50CA2" w14:textId="6F000987" w:rsidR="00E16308" w:rsidRPr="004E2B72" w:rsidRDefault="00E16308" w:rsidP="00073E78">
            <w:pPr>
              <w:spacing w:after="0"/>
              <w:jc w:val="both"/>
              <w:rPr>
                <w:rFonts w:cs="Arial"/>
              </w:rPr>
            </w:pPr>
            <w:r w:rsidRPr="004E2B72">
              <w:rPr>
                <w:rFonts w:cs="Arial"/>
              </w:rPr>
              <w:t xml:space="preserve">C. Analýza, vývoj, implementace a zkušební provoz </w:t>
            </w:r>
          </w:p>
        </w:tc>
      </w:tr>
      <w:tr w:rsidR="00073C19" w:rsidRPr="004E2B72" w14:paraId="3B8D482A"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423EE960" w14:textId="77777777" w:rsidR="00073C19" w:rsidRPr="004E2B72" w:rsidRDefault="00073C19" w:rsidP="00073E78">
            <w:pPr>
              <w:spacing w:after="0"/>
              <w:jc w:val="both"/>
              <w:rPr>
                <w:rFonts w:cs="Arial"/>
              </w:rPr>
            </w:pPr>
          </w:p>
        </w:tc>
        <w:tc>
          <w:tcPr>
            <w:tcW w:w="8472" w:type="dxa"/>
            <w:gridSpan w:val="2"/>
          </w:tcPr>
          <w:p w14:paraId="49902FF9" w14:textId="2B7993FB"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C1. Vedení projektu vývoje a implementace na straně instituce VS (i dodavatele)</w:t>
            </w:r>
          </w:p>
        </w:tc>
      </w:tr>
      <w:tr w:rsidR="00073C19" w:rsidRPr="004E2B72" w14:paraId="1D80EE01"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A8D2730" w14:textId="77777777" w:rsidR="00073C19" w:rsidRPr="004E2B72" w:rsidRDefault="00073C19" w:rsidP="00073E78">
            <w:pPr>
              <w:spacing w:after="0"/>
              <w:jc w:val="both"/>
              <w:rPr>
                <w:rFonts w:cs="Arial"/>
              </w:rPr>
            </w:pPr>
          </w:p>
        </w:tc>
        <w:tc>
          <w:tcPr>
            <w:tcW w:w="2235" w:type="dxa"/>
          </w:tcPr>
          <w:p w14:paraId="24254677"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450CF788"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423409E9"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376B1880" w14:textId="77777777" w:rsidR="00073C19" w:rsidRPr="004E2B72" w:rsidRDefault="00073C19" w:rsidP="00073E78">
            <w:pPr>
              <w:spacing w:after="0"/>
              <w:jc w:val="both"/>
              <w:rPr>
                <w:rFonts w:cs="Arial"/>
              </w:rPr>
            </w:pPr>
          </w:p>
        </w:tc>
        <w:tc>
          <w:tcPr>
            <w:tcW w:w="8472" w:type="dxa"/>
            <w:gridSpan w:val="2"/>
          </w:tcPr>
          <w:p w14:paraId="304AD758" w14:textId="12060B94"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C2. Vypracování architektury a návrhu řešení, včetně procesního chování budoucího řešení</w:t>
            </w:r>
          </w:p>
        </w:tc>
      </w:tr>
      <w:tr w:rsidR="00073C19" w:rsidRPr="004E2B72" w14:paraId="0DE65B68"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0FF7066A" w14:textId="77777777" w:rsidR="00073C19" w:rsidRPr="004E2B72" w:rsidRDefault="00073C19" w:rsidP="00073E78">
            <w:pPr>
              <w:spacing w:after="0"/>
              <w:jc w:val="both"/>
              <w:rPr>
                <w:rFonts w:cs="Arial"/>
              </w:rPr>
            </w:pPr>
          </w:p>
        </w:tc>
        <w:tc>
          <w:tcPr>
            <w:tcW w:w="2235" w:type="dxa"/>
          </w:tcPr>
          <w:p w14:paraId="12BDDB84"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189B039D"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1AB305D9"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E7EF77D" w14:textId="77777777" w:rsidR="00073C19" w:rsidRPr="004E2B72" w:rsidRDefault="00073C19" w:rsidP="00073E78">
            <w:pPr>
              <w:spacing w:after="0"/>
              <w:jc w:val="both"/>
              <w:rPr>
                <w:rFonts w:cs="Arial"/>
              </w:rPr>
            </w:pPr>
          </w:p>
        </w:tc>
        <w:tc>
          <w:tcPr>
            <w:tcW w:w="8472" w:type="dxa"/>
            <w:gridSpan w:val="2"/>
          </w:tcPr>
          <w:p w14:paraId="4EB54208" w14:textId="261358CE"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 xml:space="preserve">C3. Náklady organizačních a procesních změn vyvolaných zavedením ICT služby </w:t>
            </w:r>
          </w:p>
        </w:tc>
      </w:tr>
      <w:tr w:rsidR="00073C19" w:rsidRPr="004E2B72" w14:paraId="01917401"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8F79C5B" w14:textId="77777777" w:rsidR="00073C19" w:rsidRPr="004E2B72" w:rsidRDefault="00073C19" w:rsidP="00073E78">
            <w:pPr>
              <w:spacing w:after="0"/>
              <w:jc w:val="both"/>
              <w:rPr>
                <w:rFonts w:cs="Arial"/>
              </w:rPr>
            </w:pPr>
          </w:p>
        </w:tc>
        <w:tc>
          <w:tcPr>
            <w:tcW w:w="2235" w:type="dxa"/>
          </w:tcPr>
          <w:p w14:paraId="5E361EEE"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5D4D826D"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3B7890FF"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4099134" w14:textId="77777777" w:rsidR="00073C19" w:rsidRPr="004E2B72" w:rsidRDefault="00073C19" w:rsidP="00073E78">
            <w:pPr>
              <w:spacing w:after="0"/>
              <w:jc w:val="both"/>
              <w:rPr>
                <w:rFonts w:cs="Arial"/>
              </w:rPr>
            </w:pPr>
          </w:p>
        </w:tc>
        <w:tc>
          <w:tcPr>
            <w:tcW w:w="8472" w:type="dxa"/>
            <w:gridSpan w:val="2"/>
          </w:tcPr>
          <w:p w14:paraId="2D0BDF0C" w14:textId="1BFD34CE"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C4. Oživení HW a technologie vývojového a implementačního prostředí</w:t>
            </w:r>
            <w:r w:rsidRPr="004E2B72">
              <w:rPr>
                <w:rStyle w:val="Znakapoznpodarou"/>
                <w:rFonts w:cs="Arial"/>
              </w:rPr>
              <w:footnoteReference w:id="30"/>
            </w:r>
          </w:p>
        </w:tc>
      </w:tr>
      <w:tr w:rsidR="00073C19" w:rsidRPr="004E2B72" w14:paraId="0E9E3597"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7C5DE60" w14:textId="77777777" w:rsidR="00073C19" w:rsidRPr="004E2B72" w:rsidRDefault="00073C19" w:rsidP="00073E78">
            <w:pPr>
              <w:spacing w:after="0"/>
              <w:jc w:val="both"/>
              <w:rPr>
                <w:rFonts w:cs="Arial"/>
              </w:rPr>
            </w:pPr>
          </w:p>
        </w:tc>
        <w:tc>
          <w:tcPr>
            <w:tcW w:w="2235" w:type="dxa"/>
          </w:tcPr>
          <w:p w14:paraId="7CF10BC5"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465D915B"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06C59D6E"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64DA3A26" w14:textId="77777777" w:rsidR="00073C19" w:rsidRPr="004E2B72" w:rsidRDefault="00073C19" w:rsidP="00073E78">
            <w:pPr>
              <w:spacing w:after="0"/>
              <w:jc w:val="both"/>
              <w:rPr>
                <w:rFonts w:cs="Arial"/>
              </w:rPr>
            </w:pPr>
          </w:p>
        </w:tc>
        <w:tc>
          <w:tcPr>
            <w:tcW w:w="8472" w:type="dxa"/>
            <w:gridSpan w:val="2"/>
          </w:tcPr>
          <w:p w14:paraId="44658C56" w14:textId="42F2B931"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 xml:space="preserve">C5. Vývoj a a programové úpravy aplikace </w:t>
            </w:r>
          </w:p>
        </w:tc>
      </w:tr>
      <w:tr w:rsidR="00073C19" w:rsidRPr="004E2B72" w14:paraId="6B8FCB44"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7E44305" w14:textId="77777777" w:rsidR="00073C19" w:rsidRPr="004E2B72" w:rsidRDefault="00073C19" w:rsidP="00073E78">
            <w:pPr>
              <w:spacing w:after="0"/>
              <w:jc w:val="both"/>
              <w:rPr>
                <w:rFonts w:cs="Arial"/>
              </w:rPr>
            </w:pPr>
          </w:p>
        </w:tc>
        <w:tc>
          <w:tcPr>
            <w:tcW w:w="8472" w:type="dxa"/>
            <w:gridSpan w:val="2"/>
          </w:tcPr>
          <w:p w14:paraId="1AEC0530"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4B7064AB"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DCE873E" w14:textId="77777777" w:rsidR="00073C19" w:rsidRPr="004E2B72" w:rsidRDefault="00073C19" w:rsidP="00073E78">
            <w:pPr>
              <w:spacing w:after="0"/>
              <w:jc w:val="both"/>
              <w:rPr>
                <w:rFonts w:cs="Arial"/>
              </w:rPr>
            </w:pPr>
          </w:p>
        </w:tc>
        <w:tc>
          <w:tcPr>
            <w:tcW w:w="8472" w:type="dxa"/>
            <w:gridSpan w:val="2"/>
          </w:tcPr>
          <w:p w14:paraId="081C9442" w14:textId="66A9AD99"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C6. Customizace (nastavení parametrů) aplikace</w:t>
            </w:r>
          </w:p>
        </w:tc>
      </w:tr>
      <w:tr w:rsidR="00073C19" w:rsidRPr="004E2B72" w14:paraId="544FB5FF"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346F26F1" w14:textId="77777777" w:rsidR="00073C19" w:rsidRPr="004E2B72" w:rsidRDefault="00073C19" w:rsidP="00073E78">
            <w:pPr>
              <w:spacing w:after="0"/>
              <w:jc w:val="both"/>
              <w:rPr>
                <w:rFonts w:cs="Arial"/>
              </w:rPr>
            </w:pPr>
          </w:p>
        </w:tc>
        <w:tc>
          <w:tcPr>
            <w:tcW w:w="2235" w:type="dxa"/>
          </w:tcPr>
          <w:p w14:paraId="2735C2EB"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54838344"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067B498F"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3A21EDD" w14:textId="77777777" w:rsidR="00073C19" w:rsidRPr="004E2B72" w:rsidRDefault="00073C19" w:rsidP="00073E78">
            <w:pPr>
              <w:spacing w:after="0"/>
              <w:jc w:val="both"/>
              <w:rPr>
                <w:rFonts w:cs="Arial"/>
              </w:rPr>
            </w:pPr>
          </w:p>
        </w:tc>
        <w:tc>
          <w:tcPr>
            <w:tcW w:w="8472" w:type="dxa"/>
            <w:gridSpan w:val="2"/>
          </w:tcPr>
          <w:p w14:paraId="589FD355" w14:textId="17CCCFDA"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C7. Integrace aplikace na ostatní aplikace</w:t>
            </w:r>
          </w:p>
        </w:tc>
      </w:tr>
      <w:tr w:rsidR="00073C19" w:rsidRPr="004E2B72" w14:paraId="58F21EF7"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41357B4" w14:textId="77777777" w:rsidR="00073C19" w:rsidRPr="004E2B72" w:rsidRDefault="00073C19" w:rsidP="00073E78">
            <w:pPr>
              <w:spacing w:after="0"/>
              <w:jc w:val="both"/>
              <w:rPr>
                <w:rFonts w:cs="Arial"/>
              </w:rPr>
            </w:pPr>
          </w:p>
        </w:tc>
        <w:tc>
          <w:tcPr>
            <w:tcW w:w="2235" w:type="dxa"/>
          </w:tcPr>
          <w:p w14:paraId="15185668"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61B7883B"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11C4BF5A"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6B0BA637" w14:textId="77777777" w:rsidR="00073C19" w:rsidRPr="004E2B72" w:rsidRDefault="00073C19" w:rsidP="00073E78">
            <w:pPr>
              <w:spacing w:after="0"/>
              <w:jc w:val="both"/>
              <w:rPr>
                <w:rFonts w:cs="Arial"/>
              </w:rPr>
            </w:pPr>
          </w:p>
        </w:tc>
        <w:tc>
          <w:tcPr>
            <w:tcW w:w="8472" w:type="dxa"/>
            <w:gridSpan w:val="2"/>
          </w:tcPr>
          <w:p w14:paraId="1768279F" w14:textId="577D3355"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C8. Pořízení dat, migrace dat</w:t>
            </w:r>
          </w:p>
        </w:tc>
      </w:tr>
      <w:tr w:rsidR="00073C19" w:rsidRPr="004E2B72" w14:paraId="6B89BAD0"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0FBBC9EB" w14:textId="77777777" w:rsidR="00073C19" w:rsidRPr="004E2B72" w:rsidRDefault="00073C19" w:rsidP="00073E78">
            <w:pPr>
              <w:spacing w:after="0"/>
              <w:jc w:val="both"/>
              <w:rPr>
                <w:rFonts w:cs="Arial"/>
              </w:rPr>
            </w:pPr>
          </w:p>
        </w:tc>
        <w:tc>
          <w:tcPr>
            <w:tcW w:w="2235" w:type="dxa"/>
          </w:tcPr>
          <w:p w14:paraId="323DF026"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0D32A8FD"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354DB4D3"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6BB39712" w14:textId="77777777" w:rsidR="00073C19" w:rsidRPr="004E2B72" w:rsidRDefault="00073C19" w:rsidP="00073E78">
            <w:pPr>
              <w:spacing w:after="0"/>
              <w:jc w:val="both"/>
              <w:rPr>
                <w:rFonts w:cs="Arial"/>
              </w:rPr>
            </w:pPr>
          </w:p>
        </w:tc>
        <w:tc>
          <w:tcPr>
            <w:tcW w:w="8472" w:type="dxa"/>
            <w:gridSpan w:val="2"/>
          </w:tcPr>
          <w:p w14:paraId="11BA5B50" w14:textId="55D47CDB"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C9. Testování (funkcionality, vazeb na jiné aplikace, výkonu, spolehlivosti, bezpečnosti)</w:t>
            </w:r>
          </w:p>
        </w:tc>
      </w:tr>
      <w:tr w:rsidR="00073C19" w:rsidRPr="004E2B72" w14:paraId="0E477B9D"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ACFC50E" w14:textId="77777777" w:rsidR="00073C19" w:rsidRPr="004E2B72" w:rsidRDefault="00073C19" w:rsidP="00073E78">
            <w:pPr>
              <w:spacing w:after="0"/>
              <w:jc w:val="both"/>
              <w:rPr>
                <w:rFonts w:cs="Arial"/>
              </w:rPr>
            </w:pPr>
          </w:p>
        </w:tc>
        <w:tc>
          <w:tcPr>
            <w:tcW w:w="2235" w:type="dxa"/>
          </w:tcPr>
          <w:p w14:paraId="6FC784E5"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54424B16"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62EE68C8"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F45F218" w14:textId="77777777" w:rsidR="00073C19" w:rsidRPr="004E2B72" w:rsidRDefault="00073C19" w:rsidP="00073E78">
            <w:pPr>
              <w:spacing w:after="0"/>
              <w:jc w:val="both"/>
              <w:rPr>
                <w:rFonts w:cs="Arial"/>
              </w:rPr>
            </w:pPr>
          </w:p>
        </w:tc>
        <w:tc>
          <w:tcPr>
            <w:tcW w:w="8472" w:type="dxa"/>
            <w:gridSpan w:val="2"/>
          </w:tcPr>
          <w:p w14:paraId="655E04E3" w14:textId="0A3675EA"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C10. Školení uživatelů (započítávají se pouze náklady na vlastní školení, nikoliv časová ztráta školených zaměstnanců)</w:t>
            </w:r>
          </w:p>
        </w:tc>
      </w:tr>
      <w:tr w:rsidR="00073C19" w:rsidRPr="004E2B72" w14:paraId="38068681"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E4F13C4" w14:textId="77777777" w:rsidR="00073C19" w:rsidRPr="004E2B72" w:rsidRDefault="00073C19" w:rsidP="00073E78">
            <w:pPr>
              <w:spacing w:after="0"/>
              <w:jc w:val="both"/>
              <w:rPr>
                <w:rFonts w:cs="Arial"/>
              </w:rPr>
            </w:pPr>
          </w:p>
        </w:tc>
        <w:tc>
          <w:tcPr>
            <w:tcW w:w="2235" w:type="dxa"/>
          </w:tcPr>
          <w:p w14:paraId="1AB62DC2"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5A062000"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24E27C42"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D4224F2" w14:textId="77777777" w:rsidR="00073C19" w:rsidRPr="004E2B72" w:rsidRDefault="00073C19" w:rsidP="00073E78">
            <w:pPr>
              <w:spacing w:after="0"/>
              <w:jc w:val="both"/>
              <w:rPr>
                <w:rFonts w:cs="Arial"/>
              </w:rPr>
            </w:pPr>
          </w:p>
        </w:tc>
        <w:tc>
          <w:tcPr>
            <w:tcW w:w="8472" w:type="dxa"/>
            <w:gridSpan w:val="2"/>
          </w:tcPr>
          <w:p w14:paraId="221BF068" w14:textId="300F987C"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C11. Akceptace a ověřovací provoz</w:t>
            </w:r>
          </w:p>
        </w:tc>
      </w:tr>
      <w:tr w:rsidR="00073C19" w:rsidRPr="004E2B72" w14:paraId="259D5838"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7373555" w14:textId="77777777" w:rsidR="00073C19" w:rsidRPr="004E2B72" w:rsidRDefault="00073C19" w:rsidP="00073E78">
            <w:pPr>
              <w:spacing w:after="0"/>
              <w:jc w:val="both"/>
              <w:rPr>
                <w:rFonts w:cs="Arial"/>
              </w:rPr>
            </w:pPr>
          </w:p>
        </w:tc>
        <w:tc>
          <w:tcPr>
            <w:tcW w:w="2235" w:type="dxa"/>
          </w:tcPr>
          <w:p w14:paraId="0C05BB06"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52E4910C"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4C4CD87E" w14:textId="77777777" w:rsidTr="00A71AB2">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3C1D7CB" w14:textId="77777777" w:rsidR="00073C19" w:rsidRPr="004E2B72" w:rsidRDefault="00073C19" w:rsidP="00073E78">
            <w:pPr>
              <w:spacing w:after="0"/>
              <w:jc w:val="both"/>
              <w:rPr>
                <w:rFonts w:cs="Arial"/>
              </w:rPr>
            </w:pPr>
          </w:p>
        </w:tc>
        <w:tc>
          <w:tcPr>
            <w:tcW w:w="8472" w:type="dxa"/>
            <w:gridSpan w:val="2"/>
          </w:tcPr>
          <w:p w14:paraId="1E736741" w14:textId="6660CE21"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C12. Implementace H</w:t>
            </w:r>
            <w:r w:rsidR="004E3472" w:rsidRPr="004E2B72">
              <w:rPr>
                <w:rFonts w:cs="Arial"/>
              </w:rPr>
              <w:t>W</w:t>
            </w:r>
            <w:r w:rsidRPr="004E2B72">
              <w:rPr>
                <w:rFonts w:cs="Arial"/>
              </w:rPr>
              <w:t xml:space="preserve"> a SW pro kybernetickou bezpečnost</w:t>
            </w:r>
            <w:r w:rsidR="00823ED8" w:rsidRPr="004E2B72">
              <w:rPr>
                <w:rFonts w:cs="Arial"/>
              </w:rPr>
              <w:t>, implementace bezpečnosti, audit</w:t>
            </w:r>
          </w:p>
        </w:tc>
      </w:tr>
      <w:tr w:rsidR="00073C19" w:rsidRPr="004E2B72" w14:paraId="7E569FBD"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66AB9EC" w14:textId="77777777" w:rsidR="00073C19" w:rsidRPr="004E2B72" w:rsidRDefault="00073C19" w:rsidP="00073E78">
            <w:pPr>
              <w:spacing w:after="0"/>
              <w:jc w:val="both"/>
              <w:rPr>
                <w:rFonts w:cs="Arial"/>
              </w:rPr>
            </w:pPr>
          </w:p>
        </w:tc>
        <w:tc>
          <w:tcPr>
            <w:tcW w:w="2235" w:type="dxa"/>
          </w:tcPr>
          <w:p w14:paraId="676B5C2E"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1CBC4959"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073C19" w:rsidRPr="004E2B72" w14:paraId="57898DF9" w14:textId="77777777" w:rsidTr="00A71AB2">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8E1E318" w14:textId="77777777" w:rsidR="00073C19" w:rsidRPr="004E2B72" w:rsidRDefault="00073C19" w:rsidP="00073E78">
            <w:pPr>
              <w:spacing w:after="0"/>
              <w:jc w:val="both"/>
              <w:rPr>
                <w:rFonts w:cs="Arial"/>
              </w:rPr>
            </w:pPr>
          </w:p>
        </w:tc>
        <w:tc>
          <w:tcPr>
            <w:tcW w:w="8472" w:type="dxa"/>
            <w:gridSpan w:val="2"/>
          </w:tcPr>
          <w:p w14:paraId="3ADD516D" w14:textId="362DEEC2"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C13. Ostatní přímé náklady na pořízení řešení</w:t>
            </w:r>
          </w:p>
        </w:tc>
      </w:tr>
      <w:tr w:rsidR="00073C19" w:rsidRPr="004E2B72" w14:paraId="6B9285B0"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A5D45B8" w14:textId="77777777" w:rsidR="00073C19" w:rsidRPr="004E2B72" w:rsidRDefault="00073C19" w:rsidP="00073E78">
            <w:pPr>
              <w:spacing w:after="0"/>
              <w:jc w:val="both"/>
              <w:rPr>
                <w:rFonts w:cs="Arial"/>
              </w:rPr>
            </w:pPr>
          </w:p>
        </w:tc>
        <w:tc>
          <w:tcPr>
            <w:tcW w:w="2235" w:type="dxa"/>
          </w:tcPr>
          <w:p w14:paraId="0748523A"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7C873F40" w14:textId="77777777" w:rsidR="00073C19" w:rsidRPr="004E2B72" w:rsidRDefault="00073C19"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E16308" w:rsidRPr="004E2B72" w14:paraId="796E5585" w14:textId="18B2579B" w:rsidTr="00314FC1">
        <w:trPr>
          <w:trHeight w:val="20"/>
        </w:trPr>
        <w:tc>
          <w:tcPr>
            <w:cnfStyle w:val="001000000000" w:firstRow="0" w:lastRow="0" w:firstColumn="1" w:lastColumn="0" w:oddVBand="0" w:evenVBand="0" w:oddHBand="0" w:evenHBand="0" w:firstRowFirstColumn="0" w:firstRowLastColumn="0" w:lastRowFirstColumn="0" w:lastRowLastColumn="0"/>
            <w:tcW w:w="9606" w:type="dxa"/>
            <w:gridSpan w:val="3"/>
          </w:tcPr>
          <w:p w14:paraId="0CD783FE" w14:textId="61A31979" w:rsidR="00E16308" w:rsidRPr="004E2B72" w:rsidRDefault="00E16308" w:rsidP="00073E78">
            <w:pPr>
              <w:spacing w:after="0"/>
              <w:jc w:val="both"/>
              <w:rPr>
                <w:rFonts w:cs="Arial"/>
              </w:rPr>
            </w:pPr>
            <w:r w:rsidRPr="004E2B72">
              <w:rPr>
                <w:rFonts w:cs="Arial"/>
              </w:rPr>
              <w:t xml:space="preserve">D. Provoz a podpora řešení (ne v případě </w:t>
            </w:r>
            <w:r w:rsidR="00A71AB2" w:rsidRPr="004E2B72">
              <w:rPr>
                <w:rFonts w:cs="Arial"/>
              </w:rPr>
              <w:t>Cloud</w:t>
            </w:r>
            <w:r w:rsidRPr="004E2B72">
              <w:rPr>
                <w:rFonts w:cs="Arial"/>
              </w:rPr>
              <w:t>)</w:t>
            </w:r>
          </w:p>
        </w:tc>
      </w:tr>
      <w:tr w:rsidR="00A71AB2" w:rsidRPr="004E2B72" w14:paraId="2B179425"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45879F39" w14:textId="77777777" w:rsidR="00A71AB2" w:rsidRPr="004E2B72" w:rsidRDefault="00A71AB2" w:rsidP="00073E78">
            <w:pPr>
              <w:spacing w:after="0"/>
              <w:jc w:val="both"/>
              <w:rPr>
                <w:rFonts w:cs="Arial"/>
              </w:rPr>
            </w:pPr>
          </w:p>
        </w:tc>
        <w:tc>
          <w:tcPr>
            <w:tcW w:w="8472" w:type="dxa"/>
            <w:gridSpan w:val="2"/>
          </w:tcPr>
          <w:p w14:paraId="7A445902" w14:textId="78A35C61"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D1. Provoz a podpora aplikací (service desk / podpora uživatelů při provozu aplikace – řešení incidentů a problémů)</w:t>
            </w:r>
          </w:p>
        </w:tc>
      </w:tr>
      <w:tr w:rsidR="00A71AB2" w:rsidRPr="004E2B72" w14:paraId="28C5490F"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6175CC91" w14:textId="77777777" w:rsidR="00A71AB2" w:rsidRPr="004E2B72" w:rsidRDefault="00A71AB2" w:rsidP="00073E78">
            <w:pPr>
              <w:spacing w:after="0"/>
              <w:jc w:val="both"/>
              <w:rPr>
                <w:rFonts w:cs="Arial"/>
              </w:rPr>
            </w:pPr>
          </w:p>
        </w:tc>
        <w:tc>
          <w:tcPr>
            <w:tcW w:w="2235" w:type="dxa"/>
            <w:vMerge w:val="restart"/>
          </w:tcPr>
          <w:p w14:paraId="7F35B3BC"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4A3D3273" w14:textId="0DB7470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D1.1 Aplikační monitoring</w:t>
            </w:r>
          </w:p>
        </w:tc>
      </w:tr>
      <w:tr w:rsidR="00A71AB2" w:rsidRPr="004E2B72" w14:paraId="5B9493D6"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B2C0AD5" w14:textId="77777777" w:rsidR="00A71AB2" w:rsidRPr="004E2B72" w:rsidRDefault="00A71AB2" w:rsidP="00073E78">
            <w:pPr>
              <w:spacing w:after="0"/>
              <w:jc w:val="both"/>
              <w:rPr>
                <w:rFonts w:cs="Arial"/>
              </w:rPr>
            </w:pPr>
          </w:p>
        </w:tc>
        <w:tc>
          <w:tcPr>
            <w:tcW w:w="2235" w:type="dxa"/>
            <w:vMerge/>
          </w:tcPr>
          <w:p w14:paraId="43A87E85"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320A98CC" w14:textId="69EB22A3"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D1.2 Administrace aplikací</w:t>
            </w:r>
          </w:p>
        </w:tc>
      </w:tr>
      <w:tr w:rsidR="00A71AB2" w:rsidRPr="004E2B72" w14:paraId="1532FB2A"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14DDBA0" w14:textId="77777777" w:rsidR="00A71AB2" w:rsidRPr="004E2B72" w:rsidRDefault="00A71AB2" w:rsidP="00073E78">
            <w:pPr>
              <w:spacing w:after="0"/>
              <w:jc w:val="both"/>
              <w:rPr>
                <w:rFonts w:cs="Arial"/>
              </w:rPr>
            </w:pPr>
          </w:p>
        </w:tc>
        <w:tc>
          <w:tcPr>
            <w:tcW w:w="2235" w:type="dxa"/>
            <w:vMerge/>
          </w:tcPr>
          <w:p w14:paraId="32EF7699"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27A58D85" w14:textId="1AE7F076"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D1.3 Problém management aplikací</w:t>
            </w:r>
          </w:p>
        </w:tc>
      </w:tr>
      <w:tr w:rsidR="00A71AB2" w:rsidRPr="004E2B72" w14:paraId="5D845BBF"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8F2B417" w14:textId="77777777" w:rsidR="00A71AB2" w:rsidRPr="004E2B72" w:rsidRDefault="00A71AB2" w:rsidP="00073E78">
            <w:pPr>
              <w:spacing w:after="0"/>
              <w:jc w:val="both"/>
              <w:rPr>
                <w:rFonts w:cs="Arial"/>
              </w:rPr>
            </w:pPr>
          </w:p>
        </w:tc>
        <w:tc>
          <w:tcPr>
            <w:tcW w:w="2235" w:type="dxa"/>
            <w:vMerge/>
          </w:tcPr>
          <w:p w14:paraId="11F3CBB2"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50DA3086" w14:textId="0732A46D"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D1.4 Software Change Management aplikací</w:t>
            </w:r>
          </w:p>
        </w:tc>
      </w:tr>
      <w:tr w:rsidR="00A71AB2" w:rsidRPr="004E2B72" w14:paraId="1DA99FAD" w14:textId="77777777" w:rsidTr="00A71AB2">
        <w:trPr>
          <w:trHeight w:val="268"/>
        </w:trPr>
        <w:tc>
          <w:tcPr>
            <w:cnfStyle w:val="001000000000" w:firstRow="0" w:lastRow="0" w:firstColumn="1" w:lastColumn="0" w:oddVBand="0" w:evenVBand="0" w:oddHBand="0" w:evenHBand="0" w:firstRowFirstColumn="0" w:firstRowLastColumn="0" w:lastRowFirstColumn="0" w:lastRowLastColumn="0"/>
            <w:tcW w:w="1134" w:type="dxa"/>
            <w:vMerge/>
          </w:tcPr>
          <w:p w14:paraId="4AAE8741" w14:textId="77777777" w:rsidR="00A71AB2" w:rsidRPr="004E2B72" w:rsidRDefault="00A71AB2" w:rsidP="00073E78">
            <w:pPr>
              <w:spacing w:after="0"/>
              <w:jc w:val="both"/>
              <w:rPr>
                <w:rFonts w:cs="Arial"/>
              </w:rPr>
            </w:pPr>
          </w:p>
        </w:tc>
        <w:tc>
          <w:tcPr>
            <w:tcW w:w="2235" w:type="dxa"/>
            <w:vMerge/>
          </w:tcPr>
          <w:p w14:paraId="2487A97F"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037E41A9" w14:textId="0F226D2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D1.5 Aplikační Service Desk &amp; Incident Management</w:t>
            </w:r>
          </w:p>
        </w:tc>
      </w:tr>
      <w:tr w:rsidR="00A71AB2" w:rsidRPr="004E2B72" w14:paraId="1EC3B99B"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6F48D12F" w14:textId="77777777" w:rsidR="00A71AB2" w:rsidRPr="004E2B72" w:rsidRDefault="00A71AB2" w:rsidP="00073E78">
            <w:pPr>
              <w:spacing w:after="0"/>
              <w:jc w:val="both"/>
              <w:rPr>
                <w:rFonts w:cs="Arial"/>
              </w:rPr>
            </w:pPr>
          </w:p>
        </w:tc>
        <w:tc>
          <w:tcPr>
            <w:tcW w:w="2235" w:type="dxa"/>
            <w:vMerge/>
          </w:tcPr>
          <w:p w14:paraId="578DE0E6"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78F9B5E3" w14:textId="7E298863"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D1.6 Všeobecné a administrativní náklady pro provoz aplikací</w:t>
            </w:r>
          </w:p>
        </w:tc>
      </w:tr>
      <w:tr w:rsidR="00A71AB2" w:rsidRPr="004E2B72" w14:paraId="4AA95E3B"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537C850" w14:textId="77777777" w:rsidR="00A71AB2" w:rsidRPr="004E2B72" w:rsidRDefault="00A71AB2" w:rsidP="00073E78">
            <w:pPr>
              <w:spacing w:after="0"/>
              <w:jc w:val="both"/>
              <w:rPr>
                <w:rFonts w:cs="Arial"/>
              </w:rPr>
            </w:pPr>
          </w:p>
        </w:tc>
        <w:tc>
          <w:tcPr>
            <w:tcW w:w="8472" w:type="dxa"/>
            <w:gridSpan w:val="2"/>
          </w:tcPr>
          <w:p w14:paraId="2ED55EFA" w14:textId="17B50C39"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D2. Provoz a podpora IT technologií (administrátoři, správci, technici na administraci aplikace, systému a sítě, řízení konfigurace a kapacit, řízení dostupnosti a dalších dohodnutých parametrů služby)</w:t>
            </w:r>
          </w:p>
        </w:tc>
      </w:tr>
      <w:tr w:rsidR="00A71AB2" w:rsidRPr="004E2B72" w14:paraId="7F3548F0"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0AA63D51" w14:textId="77777777" w:rsidR="00A71AB2" w:rsidRPr="004E2B72" w:rsidRDefault="00A71AB2" w:rsidP="00073E78">
            <w:pPr>
              <w:spacing w:after="0"/>
              <w:jc w:val="both"/>
              <w:rPr>
                <w:rFonts w:cs="Arial"/>
              </w:rPr>
            </w:pPr>
          </w:p>
        </w:tc>
        <w:tc>
          <w:tcPr>
            <w:tcW w:w="2235" w:type="dxa"/>
            <w:vMerge w:val="restart"/>
          </w:tcPr>
          <w:p w14:paraId="268AF317"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3B9C88B5" w14:textId="3F070939"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D2.1 System Monitoring</w:t>
            </w:r>
          </w:p>
        </w:tc>
      </w:tr>
      <w:tr w:rsidR="00A71AB2" w:rsidRPr="004E2B72" w14:paraId="7AE27F55"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174D541" w14:textId="77777777" w:rsidR="00A71AB2" w:rsidRPr="004E2B72" w:rsidRDefault="00A71AB2" w:rsidP="00073E78">
            <w:pPr>
              <w:spacing w:after="0"/>
              <w:jc w:val="both"/>
              <w:rPr>
                <w:rFonts w:cs="Arial"/>
              </w:rPr>
            </w:pPr>
          </w:p>
        </w:tc>
        <w:tc>
          <w:tcPr>
            <w:tcW w:w="2235" w:type="dxa"/>
            <w:vMerge/>
          </w:tcPr>
          <w:p w14:paraId="0A25EC8B"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6BF0405F" w14:textId="612C8DEC"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D2.2 System Administration</w:t>
            </w:r>
          </w:p>
        </w:tc>
      </w:tr>
      <w:tr w:rsidR="00A71AB2" w:rsidRPr="004E2B72" w14:paraId="02CF872B"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1406E9B" w14:textId="77777777" w:rsidR="00A71AB2" w:rsidRPr="004E2B72" w:rsidRDefault="00A71AB2" w:rsidP="00073E78">
            <w:pPr>
              <w:spacing w:after="0"/>
              <w:jc w:val="both"/>
              <w:rPr>
                <w:rFonts w:cs="Arial"/>
              </w:rPr>
            </w:pPr>
          </w:p>
        </w:tc>
        <w:tc>
          <w:tcPr>
            <w:tcW w:w="2235" w:type="dxa"/>
            <w:vMerge/>
          </w:tcPr>
          <w:p w14:paraId="6FDFEE6C"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7CCA9553" w14:textId="7F5E0EFF"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D2.3 System Problem Management</w:t>
            </w:r>
          </w:p>
        </w:tc>
      </w:tr>
      <w:tr w:rsidR="00A71AB2" w:rsidRPr="004E2B72" w14:paraId="45A44EE9"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18F3255" w14:textId="77777777" w:rsidR="00A71AB2" w:rsidRPr="004E2B72" w:rsidRDefault="00A71AB2" w:rsidP="00073E78">
            <w:pPr>
              <w:spacing w:after="0"/>
              <w:jc w:val="both"/>
              <w:rPr>
                <w:rFonts w:cs="Arial"/>
              </w:rPr>
            </w:pPr>
          </w:p>
        </w:tc>
        <w:tc>
          <w:tcPr>
            <w:tcW w:w="2235" w:type="dxa"/>
            <w:vMerge/>
          </w:tcPr>
          <w:p w14:paraId="2D8ACA9C"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408B9372" w14:textId="7D8A059B"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D2.4 Software Change Management</w:t>
            </w:r>
          </w:p>
        </w:tc>
      </w:tr>
      <w:tr w:rsidR="00A71AB2" w:rsidRPr="004E2B72" w14:paraId="265261C7"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08D240BB" w14:textId="77777777" w:rsidR="00A71AB2" w:rsidRPr="004E2B72" w:rsidRDefault="00A71AB2" w:rsidP="00073E78">
            <w:pPr>
              <w:spacing w:after="0"/>
              <w:jc w:val="both"/>
              <w:rPr>
                <w:rFonts w:cs="Arial"/>
              </w:rPr>
            </w:pPr>
          </w:p>
        </w:tc>
        <w:tc>
          <w:tcPr>
            <w:tcW w:w="2235" w:type="dxa"/>
            <w:vMerge/>
          </w:tcPr>
          <w:p w14:paraId="050A082D"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6CE84956" w14:textId="5A226344"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D2.5 System Service Desk &amp; Incident Management</w:t>
            </w:r>
          </w:p>
        </w:tc>
      </w:tr>
      <w:tr w:rsidR="00A71AB2" w:rsidRPr="004E2B72" w14:paraId="7B5C12FB"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8EDC76F" w14:textId="77777777" w:rsidR="00A71AB2" w:rsidRPr="004E2B72" w:rsidRDefault="00A71AB2" w:rsidP="00073E78">
            <w:pPr>
              <w:spacing w:after="0"/>
              <w:jc w:val="both"/>
              <w:rPr>
                <w:rFonts w:cs="Arial"/>
              </w:rPr>
            </w:pPr>
          </w:p>
        </w:tc>
        <w:tc>
          <w:tcPr>
            <w:tcW w:w="2235" w:type="dxa"/>
            <w:vMerge/>
          </w:tcPr>
          <w:p w14:paraId="4508B541"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7A1E66D6" w14:textId="24D2C238"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D2.6 Všeobecné a administrativní náklady pro provoz systémů</w:t>
            </w:r>
          </w:p>
        </w:tc>
      </w:tr>
      <w:tr w:rsidR="00A71AB2" w:rsidRPr="004E2B72" w14:paraId="03FE489D"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07431E2" w14:textId="77777777" w:rsidR="00A71AB2" w:rsidRPr="004E2B72" w:rsidRDefault="00A71AB2" w:rsidP="00073E78">
            <w:pPr>
              <w:spacing w:after="0"/>
              <w:jc w:val="both"/>
              <w:rPr>
                <w:rFonts w:cs="Arial"/>
              </w:rPr>
            </w:pPr>
          </w:p>
        </w:tc>
        <w:tc>
          <w:tcPr>
            <w:tcW w:w="8472" w:type="dxa"/>
            <w:gridSpan w:val="2"/>
          </w:tcPr>
          <w:p w14:paraId="26D2E740" w14:textId="54CF81D8"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D3. Provoz a podpora stavby a technologie datových center a komunikační infrastruktury</w:t>
            </w:r>
          </w:p>
        </w:tc>
      </w:tr>
      <w:tr w:rsidR="00A71AB2" w:rsidRPr="004E2B72" w14:paraId="5491FA35"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021B60ED" w14:textId="77777777" w:rsidR="00A71AB2" w:rsidRPr="004E2B72" w:rsidRDefault="00A71AB2" w:rsidP="00073E78">
            <w:pPr>
              <w:spacing w:after="0"/>
              <w:jc w:val="both"/>
              <w:rPr>
                <w:rFonts w:cs="Arial"/>
              </w:rPr>
            </w:pPr>
          </w:p>
        </w:tc>
        <w:tc>
          <w:tcPr>
            <w:tcW w:w="2235" w:type="dxa"/>
          </w:tcPr>
          <w:p w14:paraId="6F620C08"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1F7487FF" w14:textId="0081909A"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D3.1 Provoz a podpora technologie DC</w:t>
            </w:r>
          </w:p>
        </w:tc>
      </w:tr>
      <w:tr w:rsidR="00A71AB2" w:rsidRPr="004E2B72" w14:paraId="16D09E32"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E26B164" w14:textId="77777777" w:rsidR="00A71AB2" w:rsidRPr="004E2B72" w:rsidRDefault="00A71AB2" w:rsidP="00073E78">
            <w:pPr>
              <w:spacing w:after="0"/>
              <w:jc w:val="both"/>
              <w:rPr>
                <w:rFonts w:cs="Arial"/>
              </w:rPr>
            </w:pPr>
          </w:p>
        </w:tc>
        <w:tc>
          <w:tcPr>
            <w:tcW w:w="2235" w:type="dxa"/>
          </w:tcPr>
          <w:p w14:paraId="4D7019E0"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609D8A54" w14:textId="5CF11F7B"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D3.2 Provoz a podpora komunikační infrastruktury</w:t>
            </w:r>
          </w:p>
        </w:tc>
      </w:tr>
      <w:tr w:rsidR="00A71AB2" w:rsidRPr="004E2B72" w14:paraId="0BB6B323"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5AA9325" w14:textId="77777777" w:rsidR="00A71AB2" w:rsidRPr="004E2B72" w:rsidRDefault="00A71AB2" w:rsidP="00073E78">
            <w:pPr>
              <w:spacing w:after="0"/>
              <w:jc w:val="both"/>
              <w:rPr>
                <w:rFonts w:cs="Arial"/>
              </w:rPr>
            </w:pPr>
          </w:p>
        </w:tc>
        <w:tc>
          <w:tcPr>
            <w:tcW w:w="2235" w:type="dxa"/>
          </w:tcPr>
          <w:p w14:paraId="4BDBA4B8"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444AFC1D" w14:textId="68A44760"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D3.3 Energie</w:t>
            </w:r>
          </w:p>
        </w:tc>
      </w:tr>
      <w:tr w:rsidR="00A71AB2" w:rsidRPr="004E2B72" w14:paraId="6B7A822C" w14:textId="77777777" w:rsidTr="00A71AB2">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5DF55AC" w14:textId="77777777" w:rsidR="00A71AB2" w:rsidRPr="004E2B72" w:rsidRDefault="00A71AB2" w:rsidP="00073E78">
            <w:pPr>
              <w:spacing w:after="0"/>
              <w:jc w:val="both"/>
              <w:rPr>
                <w:rFonts w:cs="Arial"/>
              </w:rPr>
            </w:pPr>
          </w:p>
        </w:tc>
        <w:tc>
          <w:tcPr>
            <w:tcW w:w="8472" w:type="dxa"/>
            <w:gridSpan w:val="2"/>
          </w:tcPr>
          <w:p w14:paraId="2A4D1DBC" w14:textId="4523488E"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D4. Provoz a podpora prostředků kybernetické bezpečnosti</w:t>
            </w:r>
          </w:p>
        </w:tc>
      </w:tr>
      <w:tr w:rsidR="00A71AB2" w:rsidRPr="004E2B72" w14:paraId="35A2C69E"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268E3A6" w14:textId="77777777" w:rsidR="00A71AB2" w:rsidRPr="004E2B72" w:rsidRDefault="00A71AB2" w:rsidP="00073E78">
            <w:pPr>
              <w:spacing w:after="0"/>
              <w:jc w:val="both"/>
              <w:rPr>
                <w:rFonts w:cs="Arial"/>
              </w:rPr>
            </w:pPr>
          </w:p>
        </w:tc>
        <w:tc>
          <w:tcPr>
            <w:tcW w:w="2235" w:type="dxa"/>
          </w:tcPr>
          <w:p w14:paraId="5CF21ABD"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4EF8B0C8"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A71AB2" w:rsidRPr="004E2B72" w14:paraId="14299886" w14:textId="77777777" w:rsidTr="00A71AB2">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EDD9FEB" w14:textId="77777777" w:rsidR="00A71AB2" w:rsidRPr="004E2B72" w:rsidRDefault="00A71AB2" w:rsidP="00073E78">
            <w:pPr>
              <w:spacing w:after="0"/>
              <w:jc w:val="both"/>
              <w:rPr>
                <w:rFonts w:cs="Arial"/>
              </w:rPr>
            </w:pPr>
          </w:p>
        </w:tc>
        <w:tc>
          <w:tcPr>
            <w:tcW w:w="8472" w:type="dxa"/>
            <w:gridSpan w:val="2"/>
          </w:tcPr>
          <w:p w14:paraId="13FE0C46" w14:textId="035B0C49"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D5. Zajištění kybernetické bezpečnosti provozu řešení a dodávky služeb</w:t>
            </w:r>
          </w:p>
        </w:tc>
      </w:tr>
      <w:tr w:rsidR="00A71AB2" w:rsidRPr="004E2B72" w14:paraId="4BCA748E"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51E0C6B" w14:textId="77777777" w:rsidR="00A71AB2" w:rsidRPr="004E2B72" w:rsidRDefault="00A71AB2" w:rsidP="00073E78">
            <w:pPr>
              <w:spacing w:after="0"/>
              <w:jc w:val="both"/>
              <w:rPr>
                <w:rFonts w:cs="Arial"/>
              </w:rPr>
            </w:pPr>
          </w:p>
        </w:tc>
        <w:tc>
          <w:tcPr>
            <w:tcW w:w="2235" w:type="dxa"/>
          </w:tcPr>
          <w:p w14:paraId="2CCF43A8"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26635541" w14:textId="01BEBEE0"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 xml:space="preserve">D5.1 Kybernetická bezpečnost a bezpečnostní dohledy </w:t>
            </w:r>
          </w:p>
        </w:tc>
      </w:tr>
      <w:tr w:rsidR="00A71AB2" w:rsidRPr="004E2B72" w14:paraId="17507D06"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61A3776F" w14:textId="77777777" w:rsidR="00A71AB2" w:rsidRPr="004E2B72" w:rsidRDefault="00A71AB2" w:rsidP="00073E78">
            <w:pPr>
              <w:spacing w:after="0"/>
              <w:jc w:val="both"/>
              <w:rPr>
                <w:rFonts w:cs="Arial"/>
              </w:rPr>
            </w:pPr>
          </w:p>
        </w:tc>
        <w:tc>
          <w:tcPr>
            <w:tcW w:w="2235" w:type="dxa"/>
          </w:tcPr>
          <w:p w14:paraId="5729D116"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7A472B2E" w14:textId="2E2A9B61"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D5.2 Provozní bezpečnost (penetrační testy</w:t>
            </w:r>
            <w:r w:rsidRPr="00A16C06">
              <w:rPr>
                <w:rFonts w:cs="Arial"/>
              </w:rPr>
              <w:t xml:space="preserve">, </w:t>
            </w:r>
            <w:r w:rsidRPr="004E2B72">
              <w:rPr>
                <w:rFonts w:cs="Arial"/>
              </w:rPr>
              <w:t>externí audity</w:t>
            </w:r>
            <w:r w:rsidRPr="00A16C06">
              <w:rPr>
                <w:rFonts w:cs="Arial"/>
              </w:rPr>
              <w:t>, konzultace</w:t>
            </w:r>
            <w:r w:rsidRPr="004E2B72">
              <w:rPr>
                <w:rFonts w:cs="Arial"/>
              </w:rPr>
              <w:t>)</w:t>
            </w:r>
            <w:r w:rsidR="00304357" w:rsidRPr="004E2B72">
              <w:rPr>
                <w:rStyle w:val="Znakapoznpodarou"/>
                <w:rFonts w:cs="Arial"/>
              </w:rPr>
              <w:footnoteReference w:id="31"/>
            </w:r>
          </w:p>
        </w:tc>
      </w:tr>
      <w:tr w:rsidR="00A71AB2" w:rsidRPr="004E2B72" w14:paraId="6CC2290D"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FC3380F" w14:textId="77777777" w:rsidR="00A71AB2" w:rsidRPr="004E2B72" w:rsidRDefault="00A71AB2" w:rsidP="00073E78">
            <w:pPr>
              <w:spacing w:after="0"/>
              <w:jc w:val="both"/>
              <w:rPr>
                <w:rFonts w:cs="Arial"/>
              </w:rPr>
            </w:pPr>
          </w:p>
        </w:tc>
        <w:tc>
          <w:tcPr>
            <w:tcW w:w="2235" w:type="dxa"/>
          </w:tcPr>
          <w:p w14:paraId="6F4A53C4"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117C6883" w14:textId="2EC74303"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E251DC" w:rsidRPr="004E2B72" w14:paraId="6ADF3E19" w14:textId="42EF60F8" w:rsidTr="00314FC1">
        <w:trPr>
          <w:trHeight w:val="20"/>
        </w:trPr>
        <w:tc>
          <w:tcPr>
            <w:cnfStyle w:val="001000000000" w:firstRow="0" w:lastRow="0" w:firstColumn="1" w:lastColumn="0" w:oddVBand="0" w:evenVBand="0" w:oddHBand="0" w:evenHBand="0" w:firstRowFirstColumn="0" w:firstRowLastColumn="0" w:lastRowFirstColumn="0" w:lastRowLastColumn="0"/>
            <w:tcW w:w="9606" w:type="dxa"/>
            <w:gridSpan w:val="3"/>
          </w:tcPr>
          <w:p w14:paraId="7467DEAF" w14:textId="1AA85AE2" w:rsidR="00E251DC" w:rsidRPr="004E2B72" w:rsidRDefault="00E251DC" w:rsidP="00073E78">
            <w:pPr>
              <w:spacing w:after="0"/>
              <w:jc w:val="both"/>
              <w:rPr>
                <w:rFonts w:cs="Arial"/>
              </w:rPr>
            </w:pPr>
            <w:r w:rsidRPr="004E2B72">
              <w:rPr>
                <w:rFonts w:cs="Arial"/>
              </w:rPr>
              <w:t xml:space="preserve">E. </w:t>
            </w:r>
            <w:r w:rsidR="00A71AB2" w:rsidRPr="004E2B72">
              <w:rPr>
                <w:rFonts w:cs="Arial"/>
              </w:rPr>
              <w:t>Ú</w:t>
            </w:r>
            <w:r w:rsidRPr="004E2B72">
              <w:rPr>
                <w:rFonts w:cs="Arial"/>
              </w:rPr>
              <w:t xml:space="preserve">držba a průběžné úpravy </w:t>
            </w:r>
            <w:r w:rsidR="00EF18D2" w:rsidRPr="004E2B72">
              <w:rPr>
                <w:rFonts w:cs="Arial"/>
              </w:rPr>
              <w:t xml:space="preserve">a opravy </w:t>
            </w:r>
            <w:r w:rsidRPr="004E2B72">
              <w:rPr>
                <w:rFonts w:cs="Arial"/>
              </w:rPr>
              <w:t xml:space="preserve">(ne v případě </w:t>
            </w:r>
            <w:r w:rsidR="00A71AB2" w:rsidRPr="004E2B72">
              <w:rPr>
                <w:rFonts w:cs="Arial"/>
              </w:rPr>
              <w:t>Cloud</w:t>
            </w:r>
            <w:r w:rsidRPr="004E2B72">
              <w:rPr>
                <w:rFonts w:cs="Arial"/>
              </w:rPr>
              <w:t>)</w:t>
            </w:r>
          </w:p>
        </w:tc>
      </w:tr>
      <w:tr w:rsidR="00232FCB" w:rsidRPr="004E2B72" w14:paraId="1B977BBF"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5439EB87" w14:textId="77777777" w:rsidR="00232FCB" w:rsidRPr="004E2B72" w:rsidRDefault="00232FCB" w:rsidP="00073E78">
            <w:pPr>
              <w:spacing w:after="0"/>
              <w:jc w:val="both"/>
              <w:rPr>
                <w:rFonts w:cs="Arial"/>
              </w:rPr>
            </w:pPr>
          </w:p>
        </w:tc>
        <w:tc>
          <w:tcPr>
            <w:tcW w:w="8472" w:type="dxa"/>
            <w:gridSpan w:val="2"/>
          </w:tcPr>
          <w:p w14:paraId="18B6102E" w14:textId="0A33729D"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E1. Poplatky za roční standardní údržbu (maintenance) HW a prvků síťové infrastruktury</w:t>
            </w:r>
          </w:p>
        </w:tc>
      </w:tr>
      <w:tr w:rsidR="00232FCB" w:rsidRPr="004E2B72" w14:paraId="5D1D2857"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7B2DF35" w14:textId="77777777" w:rsidR="00232FCB" w:rsidRPr="004E2B72" w:rsidRDefault="00232FCB" w:rsidP="00073E78">
            <w:pPr>
              <w:spacing w:after="0"/>
              <w:jc w:val="both"/>
              <w:rPr>
                <w:rFonts w:cs="Arial"/>
              </w:rPr>
            </w:pPr>
          </w:p>
        </w:tc>
        <w:tc>
          <w:tcPr>
            <w:tcW w:w="2235" w:type="dxa"/>
          </w:tcPr>
          <w:p w14:paraId="0429CC4C"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528F437E"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232FCB" w:rsidRPr="004E2B72" w14:paraId="3CC23D50"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70E40FE" w14:textId="77777777" w:rsidR="00232FCB" w:rsidRPr="004E2B72" w:rsidRDefault="00232FCB" w:rsidP="00073E78">
            <w:pPr>
              <w:spacing w:after="0"/>
              <w:jc w:val="both"/>
              <w:rPr>
                <w:rFonts w:cs="Arial"/>
              </w:rPr>
            </w:pPr>
          </w:p>
        </w:tc>
        <w:tc>
          <w:tcPr>
            <w:tcW w:w="8472" w:type="dxa"/>
            <w:gridSpan w:val="2"/>
          </w:tcPr>
          <w:p w14:paraId="4F3198DD" w14:textId="5FF77B2B"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E2. Poplatky za roční standardní údržbu (maintenance, typicky právo upgrade) vývojového, provozního i systémového SW</w:t>
            </w:r>
          </w:p>
        </w:tc>
      </w:tr>
      <w:tr w:rsidR="00232FCB" w:rsidRPr="004E2B72" w14:paraId="0205F09F"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ECEA0C4" w14:textId="77777777" w:rsidR="00232FCB" w:rsidRPr="004E2B72" w:rsidRDefault="00232FCB" w:rsidP="00073E78">
            <w:pPr>
              <w:spacing w:after="0"/>
              <w:jc w:val="both"/>
              <w:rPr>
                <w:rFonts w:cs="Arial"/>
              </w:rPr>
            </w:pPr>
          </w:p>
        </w:tc>
        <w:tc>
          <w:tcPr>
            <w:tcW w:w="2235" w:type="dxa"/>
          </w:tcPr>
          <w:p w14:paraId="57FA7A76"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3F38D310"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232FCB" w:rsidRPr="004E2B72" w14:paraId="5B267EE6"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6C552A69" w14:textId="77777777" w:rsidR="00232FCB" w:rsidRPr="004E2B72" w:rsidRDefault="00232FCB" w:rsidP="00073E78">
            <w:pPr>
              <w:spacing w:after="0"/>
              <w:jc w:val="both"/>
              <w:rPr>
                <w:rFonts w:cs="Arial"/>
              </w:rPr>
            </w:pPr>
          </w:p>
        </w:tc>
        <w:tc>
          <w:tcPr>
            <w:tcW w:w="8472" w:type="dxa"/>
            <w:gridSpan w:val="2"/>
          </w:tcPr>
          <w:p w14:paraId="78DD417E" w14:textId="1DEBC7F8"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E3. Poplatky za roční standardní údržbu (maintenance, typicky právo upgrade) aplikačního SW</w:t>
            </w:r>
          </w:p>
        </w:tc>
      </w:tr>
      <w:tr w:rsidR="00232FCB" w:rsidRPr="004E2B72" w14:paraId="2580B625"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1D74131" w14:textId="77777777" w:rsidR="00232FCB" w:rsidRPr="004E2B72" w:rsidRDefault="00232FCB" w:rsidP="00073E78">
            <w:pPr>
              <w:spacing w:after="0"/>
              <w:jc w:val="both"/>
              <w:rPr>
                <w:rFonts w:cs="Arial"/>
              </w:rPr>
            </w:pPr>
          </w:p>
        </w:tc>
        <w:tc>
          <w:tcPr>
            <w:tcW w:w="2235" w:type="dxa"/>
          </w:tcPr>
          <w:p w14:paraId="69ECE005"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3F5B1D52"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232FCB" w:rsidRPr="004E2B72" w14:paraId="289DA971" w14:textId="77777777" w:rsidTr="00A71AB2">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BCEC2B1" w14:textId="77777777" w:rsidR="00232FCB" w:rsidRPr="004E2B72" w:rsidRDefault="00232FCB" w:rsidP="00073E78">
            <w:pPr>
              <w:spacing w:after="0"/>
              <w:jc w:val="both"/>
              <w:rPr>
                <w:rFonts w:cs="Arial"/>
              </w:rPr>
            </w:pPr>
          </w:p>
        </w:tc>
        <w:tc>
          <w:tcPr>
            <w:tcW w:w="8472" w:type="dxa"/>
            <w:gridSpan w:val="2"/>
          </w:tcPr>
          <w:p w14:paraId="3A63FAEA" w14:textId="7DB57610"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E4. Poplatky za roční standardní údržbu HW+SW zařízení (Appliance)</w:t>
            </w:r>
          </w:p>
        </w:tc>
      </w:tr>
      <w:tr w:rsidR="00232FCB" w:rsidRPr="004E2B72" w14:paraId="2B2E5882"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C234056" w14:textId="77777777" w:rsidR="00232FCB" w:rsidRPr="004E2B72" w:rsidRDefault="00232FCB" w:rsidP="00073E78">
            <w:pPr>
              <w:spacing w:after="0"/>
              <w:jc w:val="both"/>
              <w:rPr>
                <w:rFonts w:cs="Arial"/>
              </w:rPr>
            </w:pPr>
          </w:p>
        </w:tc>
        <w:tc>
          <w:tcPr>
            <w:tcW w:w="2235" w:type="dxa"/>
          </w:tcPr>
          <w:p w14:paraId="7F67EEB1"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513CF921"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232FCB" w:rsidRPr="004E2B72" w14:paraId="254AA32B" w14:textId="77777777" w:rsidTr="00A71AB2">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18F30E1" w14:textId="77777777" w:rsidR="00232FCB" w:rsidRPr="004E2B72" w:rsidRDefault="00232FCB" w:rsidP="00073E78">
            <w:pPr>
              <w:spacing w:after="0"/>
              <w:jc w:val="both"/>
              <w:rPr>
                <w:rFonts w:cs="Arial"/>
              </w:rPr>
            </w:pPr>
          </w:p>
        </w:tc>
        <w:tc>
          <w:tcPr>
            <w:tcW w:w="8472" w:type="dxa"/>
            <w:gridSpan w:val="2"/>
          </w:tcPr>
          <w:p w14:paraId="74C0D8D0" w14:textId="34A5749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E5. Poplatky za roční standardní údržbu prostředků kybernetické bezpečnosti</w:t>
            </w:r>
          </w:p>
        </w:tc>
      </w:tr>
      <w:tr w:rsidR="00232FCB" w:rsidRPr="004E2B72" w14:paraId="604C2132"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315F858C" w14:textId="77777777" w:rsidR="00232FCB" w:rsidRPr="004E2B72" w:rsidRDefault="00232FCB" w:rsidP="00073E78">
            <w:pPr>
              <w:spacing w:after="0"/>
              <w:jc w:val="both"/>
              <w:rPr>
                <w:rFonts w:cs="Arial"/>
              </w:rPr>
            </w:pPr>
          </w:p>
        </w:tc>
        <w:tc>
          <w:tcPr>
            <w:tcW w:w="2235" w:type="dxa"/>
          </w:tcPr>
          <w:p w14:paraId="389325D9"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001FD572"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232FCB" w:rsidRPr="004E2B72" w14:paraId="622EDAA0" w14:textId="77777777" w:rsidTr="00A71AB2">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C26D5E2" w14:textId="77777777" w:rsidR="00232FCB" w:rsidRPr="004E2B72" w:rsidRDefault="00232FCB" w:rsidP="00073E78">
            <w:pPr>
              <w:spacing w:after="0"/>
              <w:jc w:val="both"/>
              <w:rPr>
                <w:rFonts w:cs="Arial"/>
              </w:rPr>
            </w:pPr>
          </w:p>
        </w:tc>
        <w:tc>
          <w:tcPr>
            <w:tcW w:w="8472" w:type="dxa"/>
            <w:gridSpan w:val="2"/>
          </w:tcPr>
          <w:p w14:paraId="5FD75042" w14:textId="0F6F3BC4"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E6. Úpravy/opravy/rozvoj HW a prvků síťové infrastruktury (nad standardní údržbu)</w:t>
            </w:r>
          </w:p>
        </w:tc>
      </w:tr>
      <w:tr w:rsidR="00232FCB" w:rsidRPr="004E2B72" w14:paraId="76C99E88"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A5910B6" w14:textId="77777777" w:rsidR="00232FCB" w:rsidRPr="004E2B72" w:rsidRDefault="00232FCB" w:rsidP="00073E78">
            <w:pPr>
              <w:spacing w:after="0"/>
              <w:jc w:val="both"/>
              <w:rPr>
                <w:rFonts w:cs="Arial"/>
              </w:rPr>
            </w:pPr>
          </w:p>
        </w:tc>
        <w:tc>
          <w:tcPr>
            <w:tcW w:w="2235" w:type="dxa"/>
          </w:tcPr>
          <w:p w14:paraId="25E2F32E"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0E97F61E"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232FCB" w:rsidRPr="004E2B72" w14:paraId="4DA8E022"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D41C59A" w14:textId="77777777" w:rsidR="00232FCB" w:rsidRPr="004E2B72" w:rsidRDefault="00232FCB" w:rsidP="00073E78">
            <w:pPr>
              <w:spacing w:after="0"/>
              <w:jc w:val="both"/>
              <w:rPr>
                <w:rFonts w:cs="Arial"/>
              </w:rPr>
            </w:pPr>
          </w:p>
        </w:tc>
        <w:tc>
          <w:tcPr>
            <w:tcW w:w="8472" w:type="dxa"/>
            <w:gridSpan w:val="2"/>
          </w:tcPr>
          <w:p w14:paraId="7F467950" w14:textId="5383D260"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E7. Úpravy/opravy/rozvoj vývojového, provozního i systémového SW (nad standardní údržbu)</w:t>
            </w:r>
          </w:p>
        </w:tc>
      </w:tr>
      <w:tr w:rsidR="00232FCB" w:rsidRPr="004E2B72" w14:paraId="7C2DC29C" w14:textId="77777777" w:rsidTr="00A71AB2">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11EE32C" w14:textId="77777777" w:rsidR="00232FCB" w:rsidRPr="004E2B72" w:rsidRDefault="00232FCB" w:rsidP="00073E78">
            <w:pPr>
              <w:spacing w:after="0"/>
              <w:jc w:val="both"/>
              <w:rPr>
                <w:rFonts w:cs="Arial"/>
              </w:rPr>
            </w:pPr>
          </w:p>
        </w:tc>
        <w:tc>
          <w:tcPr>
            <w:tcW w:w="2235" w:type="dxa"/>
          </w:tcPr>
          <w:p w14:paraId="04A3FB31"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38FDD053" w14:textId="33E5741B"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232FCB" w:rsidRPr="004E2B72" w14:paraId="52D4728C"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D6F9A32" w14:textId="77777777" w:rsidR="00232FCB" w:rsidRPr="004E2B72" w:rsidRDefault="00232FCB" w:rsidP="00073E78">
            <w:pPr>
              <w:spacing w:after="0"/>
              <w:jc w:val="both"/>
              <w:rPr>
                <w:rFonts w:cs="Arial"/>
              </w:rPr>
            </w:pPr>
          </w:p>
        </w:tc>
        <w:tc>
          <w:tcPr>
            <w:tcW w:w="8472" w:type="dxa"/>
            <w:gridSpan w:val="2"/>
          </w:tcPr>
          <w:p w14:paraId="1153B1B0" w14:textId="6B78090E"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E8. Úpravy/opravy/rozvoj aplikace (nad standardní údržbu) – průběžné (interní, liniově řízené)</w:t>
            </w:r>
          </w:p>
        </w:tc>
      </w:tr>
      <w:tr w:rsidR="00232FCB" w:rsidRPr="004E2B72" w14:paraId="4134AD62"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8CD4289" w14:textId="77777777" w:rsidR="00232FCB" w:rsidRPr="004E2B72" w:rsidRDefault="00232FCB" w:rsidP="00073E78">
            <w:pPr>
              <w:spacing w:after="0"/>
              <w:jc w:val="both"/>
              <w:rPr>
                <w:rFonts w:cs="Arial"/>
              </w:rPr>
            </w:pPr>
          </w:p>
        </w:tc>
        <w:tc>
          <w:tcPr>
            <w:tcW w:w="2235" w:type="dxa"/>
          </w:tcPr>
          <w:p w14:paraId="657E4E92"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399917D9"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232FCB" w:rsidRPr="004E2B72" w14:paraId="5D02E09C" w14:textId="77777777" w:rsidTr="00A71AB2">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61749417" w14:textId="77777777" w:rsidR="00232FCB" w:rsidRPr="004E2B72" w:rsidRDefault="00232FCB" w:rsidP="00073E78">
            <w:pPr>
              <w:spacing w:after="0"/>
              <w:jc w:val="both"/>
              <w:rPr>
                <w:rFonts w:cs="Arial"/>
              </w:rPr>
            </w:pPr>
          </w:p>
        </w:tc>
        <w:tc>
          <w:tcPr>
            <w:tcW w:w="8472" w:type="dxa"/>
            <w:gridSpan w:val="2"/>
          </w:tcPr>
          <w:p w14:paraId="50620FBF" w14:textId="3081238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E9. Úpravy/opravy/rozvoj HW+SW zařízení (Appliance) (nad standardní údržbu)</w:t>
            </w:r>
          </w:p>
        </w:tc>
      </w:tr>
      <w:tr w:rsidR="00232FCB" w:rsidRPr="004E2B72" w14:paraId="507387C3" w14:textId="77777777" w:rsidTr="00A71AB2">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82524AB" w14:textId="77777777" w:rsidR="00232FCB" w:rsidRPr="004E2B72" w:rsidRDefault="00232FCB" w:rsidP="00073E78">
            <w:pPr>
              <w:spacing w:after="0"/>
              <w:jc w:val="both"/>
              <w:rPr>
                <w:rFonts w:cs="Arial"/>
              </w:rPr>
            </w:pPr>
          </w:p>
        </w:tc>
        <w:tc>
          <w:tcPr>
            <w:tcW w:w="8472" w:type="dxa"/>
            <w:gridSpan w:val="2"/>
          </w:tcPr>
          <w:p w14:paraId="43FCB333"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232FCB" w:rsidRPr="004E2B72" w14:paraId="757CC907" w14:textId="77777777" w:rsidTr="00A71AB2">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295F5F3" w14:textId="77777777" w:rsidR="00232FCB" w:rsidRPr="004E2B72" w:rsidRDefault="00232FCB" w:rsidP="00073E78">
            <w:pPr>
              <w:spacing w:after="0"/>
              <w:jc w:val="both"/>
              <w:rPr>
                <w:rFonts w:cs="Arial"/>
              </w:rPr>
            </w:pPr>
          </w:p>
        </w:tc>
        <w:tc>
          <w:tcPr>
            <w:tcW w:w="8472" w:type="dxa"/>
            <w:gridSpan w:val="2"/>
          </w:tcPr>
          <w:p w14:paraId="5DF0AF2A" w14:textId="66BB22D8"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E10. Úpravy/opravy/rozvoj prostředků kybernetické bezpečnosti (nad standardní údržbu)</w:t>
            </w:r>
          </w:p>
        </w:tc>
      </w:tr>
      <w:tr w:rsidR="00232FCB" w:rsidRPr="004E2B72" w14:paraId="35A57C50"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2E7839F" w14:textId="77777777" w:rsidR="00232FCB" w:rsidRPr="004E2B72" w:rsidRDefault="00232FCB" w:rsidP="00073E78">
            <w:pPr>
              <w:spacing w:after="0"/>
              <w:jc w:val="both"/>
              <w:rPr>
                <w:rFonts w:cs="Arial"/>
              </w:rPr>
            </w:pPr>
          </w:p>
        </w:tc>
        <w:tc>
          <w:tcPr>
            <w:tcW w:w="2235" w:type="dxa"/>
          </w:tcPr>
          <w:p w14:paraId="36B1560F"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4C3F5B7C" w14:textId="77777777" w:rsidR="00232FCB" w:rsidRPr="004E2B72" w:rsidRDefault="00232FCB"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E251DC" w:rsidRPr="004E2B72" w14:paraId="42CEDFB4" w14:textId="4FD6E28C" w:rsidTr="00314FC1">
        <w:trPr>
          <w:trHeight w:val="20"/>
        </w:trPr>
        <w:tc>
          <w:tcPr>
            <w:cnfStyle w:val="001000000000" w:firstRow="0" w:lastRow="0" w:firstColumn="1" w:lastColumn="0" w:oddVBand="0" w:evenVBand="0" w:oddHBand="0" w:evenHBand="0" w:firstRowFirstColumn="0" w:firstRowLastColumn="0" w:lastRowFirstColumn="0" w:lastRowLastColumn="0"/>
            <w:tcW w:w="9606" w:type="dxa"/>
            <w:gridSpan w:val="3"/>
          </w:tcPr>
          <w:p w14:paraId="01BE022F" w14:textId="3A1D6414" w:rsidR="00E251DC" w:rsidRPr="004E2B72" w:rsidRDefault="00E251DC" w:rsidP="00073E78">
            <w:pPr>
              <w:spacing w:after="0"/>
              <w:jc w:val="both"/>
              <w:rPr>
                <w:rFonts w:cs="Arial"/>
              </w:rPr>
            </w:pPr>
            <w:r w:rsidRPr="004E2B72">
              <w:rPr>
                <w:rFonts w:cs="Arial"/>
              </w:rPr>
              <w:t>F. Projekty postupné inovace a zlepšování (plánované)</w:t>
            </w:r>
          </w:p>
        </w:tc>
      </w:tr>
      <w:tr w:rsidR="00E251DC" w:rsidRPr="004E2B72" w14:paraId="7C571F0C"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4A40DD14" w14:textId="77777777" w:rsidR="00E251DC" w:rsidRPr="004E2B72" w:rsidRDefault="00E251DC" w:rsidP="00073E78">
            <w:pPr>
              <w:spacing w:after="0"/>
              <w:jc w:val="both"/>
              <w:rPr>
                <w:rFonts w:cs="Arial"/>
              </w:rPr>
            </w:pPr>
          </w:p>
        </w:tc>
        <w:tc>
          <w:tcPr>
            <w:tcW w:w="8472" w:type="dxa"/>
            <w:gridSpan w:val="2"/>
          </w:tcPr>
          <w:p w14:paraId="5ADD7179" w14:textId="2E6AFB0F" w:rsidR="00E251DC" w:rsidRPr="004E2B72" w:rsidRDefault="00E251DC"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 xml:space="preserve">F1: Funkční (procesní) inovační rozvojové projekty </w:t>
            </w:r>
          </w:p>
        </w:tc>
      </w:tr>
      <w:tr w:rsidR="00E251DC" w:rsidRPr="004E2B72" w14:paraId="23F14AD5"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1DE5A0F" w14:textId="77777777" w:rsidR="00E251DC" w:rsidRPr="004E2B72" w:rsidRDefault="00E251DC" w:rsidP="00073E78">
            <w:pPr>
              <w:spacing w:after="0"/>
              <w:jc w:val="both"/>
              <w:rPr>
                <w:rFonts w:cs="Arial"/>
              </w:rPr>
            </w:pPr>
          </w:p>
        </w:tc>
        <w:tc>
          <w:tcPr>
            <w:tcW w:w="2235" w:type="dxa"/>
          </w:tcPr>
          <w:p w14:paraId="5A31C538" w14:textId="77777777" w:rsidR="00E251DC" w:rsidRPr="004E2B72" w:rsidRDefault="00E251DC"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4267D208" w14:textId="77777777" w:rsidR="00E251DC" w:rsidRPr="004E2B72" w:rsidRDefault="00E251DC"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E251DC" w:rsidRPr="004E2B72" w14:paraId="5860BB35"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664CD7BA" w14:textId="77777777" w:rsidR="00E251DC" w:rsidRPr="004E2B72" w:rsidRDefault="00E251DC" w:rsidP="00073E78">
            <w:pPr>
              <w:spacing w:after="0"/>
              <w:jc w:val="both"/>
              <w:rPr>
                <w:rFonts w:cs="Arial"/>
              </w:rPr>
            </w:pPr>
          </w:p>
        </w:tc>
        <w:tc>
          <w:tcPr>
            <w:tcW w:w="8472" w:type="dxa"/>
            <w:gridSpan w:val="2"/>
          </w:tcPr>
          <w:p w14:paraId="7B286968" w14:textId="109D596F" w:rsidR="00E251DC" w:rsidRPr="004E2B72" w:rsidRDefault="00E251DC"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F2: Technologické rozvojové projekty</w:t>
            </w:r>
          </w:p>
        </w:tc>
      </w:tr>
      <w:tr w:rsidR="00E251DC" w:rsidRPr="004E2B72" w14:paraId="081357D3"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3C2F5B5" w14:textId="77777777" w:rsidR="00E251DC" w:rsidRPr="004E2B72" w:rsidRDefault="00E251DC" w:rsidP="00073E78">
            <w:pPr>
              <w:spacing w:after="0"/>
              <w:jc w:val="both"/>
              <w:rPr>
                <w:rFonts w:cs="Arial"/>
              </w:rPr>
            </w:pPr>
          </w:p>
        </w:tc>
        <w:tc>
          <w:tcPr>
            <w:tcW w:w="2235" w:type="dxa"/>
          </w:tcPr>
          <w:p w14:paraId="3958CDA3" w14:textId="77777777" w:rsidR="00E251DC" w:rsidRPr="004E2B72" w:rsidRDefault="00E251DC"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1ED5B87D" w14:textId="77777777" w:rsidR="00E251DC" w:rsidRPr="004E2B72" w:rsidRDefault="00E251DC"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E251DC" w:rsidRPr="004E2B72" w14:paraId="1ECDE8FD"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C6DF1D6" w14:textId="77777777" w:rsidR="00E251DC" w:rsidRPr="004E2B72" w:rsidRDefault="00E251DC" w:rsidP="00073E78">
            <w:pPr>
              <w:spacing w:after="0"/>
              <w:jc w:val="both"/>
              <w:rPr>
                <w:rFonts w:cs="Arial"/>
              </w:rPr>
            </w:pPr>
          </w:p>
        </w:tc>
        <w:tc>
          <w:tcPr>
            <w:tcW w:w="8472" w:type="dxa"/>
            <w:gridSpan w:val="2"/>
          </w:tcPr>
          <w:p w14:paraId="58F0893E" w14:textId="19211B6E" w:rsidR="00E251DC" w:rsidRPr="004E2B72" w:rsidRDefault="00E251DC"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F3: Roll-out projekty (rozšíření na další uživatele, organizace)</w:t>
            </w:r>
          </w:p>
        </w:tc>
      </w:tr>
      <w:tr w:rsidR="00E251DC" w:rsidRPr="004E2B72" w14:paraId="06BBB3A7"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6974A46A" w14:textId="77777777" w:rsidR="00E251DC" w:rsidRPr="004E2B72" w:rsidRDefault="00E251DC" w:rsidP="00073E78">
            <w:pPr>
              <w:spacing w:after="0"/>
              <w:jc w:val="both"/>
              <w:rPr>
                <w:rFonts w:cs="Arial"/>
              </w:rPr>
            </w:pPr>
          </w:p>
        </w:tc>
        <w:tc>
          <w:tcPr>
            <w:tcW w:w="2235" w:type="dxa"/>
          </w:tcPr>
          <w:p w14:paraId="3AD45A03" w14:textId="77777777" w:rsidR="00E251DC" w:rsidRPr="004E2B72" w:rsidRDefault="00E251DC"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7F8E0751" w14:textId="77777777" w:rsidR="00E251DC" w:rsidRPr="004E2B72" w:rsidRDefault="00E251DC"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E251DC" w:rsidRPr="004E2B72" w14:paraId="64967833"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105009C8" w14:textId="77777777" w:rsidR="00E251DC" w:rsidRPr="004E2B72" w:rsidRDefault="00E251DC" w:rsidP="00073E78">
            <w:pPr>
              <w:spacing w:after="0"/>
              <w:jc w:val="both"/>
              <w:rPr>
                <w:rFonts w:cs="Arial"/>
              </w:rPr>
            </w:pPr>
          </w:p>
        </w:tc>
        <w:tc>
          <w:tcPr>
            <w:tcW w:w="8472" w:type="dxa"/>
            <w:gridSpan w:val="2"/>
          </w:tcPr>
          <w:p w14:paraId="6D79614B" w14:textId="2A39D6FB" w:rsidR="00E251DC" w:rsidRPr="004E2B72" w:rsidRDefault="00E251DC"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F4. Projekty optimalizace řešení (např. konsolidace HW)</w:t>
            </w:r>
          </w:p>
        </w:tc>
      </w:tr>
      <w:tr w:rsidR="00E251DC" w:rsidRPr="004E2B72" w14:paraId="0A49420D"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221A558" w14:textId="77777777" w:rsidR="00E251DC" w:rsidRPr="004E2B72" w:rsidRDefault="00E251DC" w:rsidP="00073E78">
            <w:pPr>
              <w:spacing w:after="0"/>
              <w:jc w:val="both"/>
              <w:rPr>
                <w:rFonts w:cs="Arial"/>
              </w:rPr>
            </w:pPr>
          </w:p>
        </w:tc>
        <w:tc>
          <w:tcPr>
            <w:tcW w:w="2235" w:type="dxa"/>
          </w:tcPr>
          <w:p w14:paraId="7FD0ED64" w14:textId="77777777" w:rsidR="00E251DC" w:rsidRPr="004E2B72" w:rsidRDefault="00E251DC"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0D302006" w14:textId="77777777" w:rsidR="00E251DC" w:rsidRPr="004E2B72" w:rsidRDefault="00E251DC"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E251DC" w:rsidRPr="004E2B72" w14:paraId="21895975" w14:textId="71667912" w:rsidTr="00314FC1">
        <w:trPr>
          <w:trHeight w:val="20"/>
        </w:trPr>
        <w:tc>
          <w:tcPr>
            <w:cnfStyle w:val="001000000000" w:firstRow="0" w:lastRow="0" w:firstColumn="1" w:lastColumn="0" w:oddVBand="0" w:evenVBand="0" w:oddHBand="0" w:evenHBand="0" w:firstRowFirstColumn="0" w:firstRowLastColumn="0" w:lastRowFirstColumn="0" w:lastRowLastColumn="0"/>
            <w:tcW w:w="9606" w:type="dxa"/>
            <w:gridSpan w:val="3"/>
          </w:tcPr>
          <w:p w14:paraId="033FA9FF" w14:textId="51BC865F" w:rsidR="00E251DC" w:rsidRPr="004E2B72" w:rsidRDefault="00E251DC" w:rsidP="00073E78">
            <w:pPr>
              <w:spacing w:after="0"/>
              <w:jc w:val="both"/>
              <w:rPr>
                <w:rFonts w:cs="Arial"/>
              </w:rPr>
            </w:pPr>
            <w:r w:rsidRPr="004E2B72">
              <w:rPr>
                <w:rFonts w:cs="Arial"/>
              </w:rPr>
              <w:t>G. Projekty upgrade (pokud jsou plánovány)</w:t>
            </w:r>
          </w:p>
        </w:tc>
      </w:tr>
      <w:tr w:rsidR="00A71AB2" w:rsidRPr="004E2B72" w14:paraId="24EBCF28" w14:textId="77777777" w:rsidTr="00EC0C28">
        <w:trPr>
          <w:trHeight w:val="2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4A8380F2" w14:textId="77777777" w:rsidR="00A71AB2" w:rsidRPr="004E2B72" w:rsidRDefault="00A71AB2" w:rsidP="00073E78">
            <w:pPr>
              <w:spacing w:after="0"/>
              <w:jc w:val="both"/>
              <w:rPr>
                <w:rFonts w:cs="Arial"/>
              </w:rPr>
            </w:pPr>
          </w:p>
        </w:tc>
        <w:tc>
          <w:tcPr>
            <w:tcW w:w="8472" w:type="dxa"/>
            <w:gridSpan w:val="2"/>
          </w:tcPr>
          <w:p w14:paraId="5C28D121" w14:textId="3FA95B8F"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G1. Projekty aplikačního upgrade</w:t>
            </w:r>
          </w:p>
        </w:tc>
      </w:tr>
      <w:tr w:rsidR="00A71AB2" w:rsidRPr="004E2B72" w14:paraId="5FC43435"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635B046" w14:textId="77777777" w:rsidR="00A71AB2" w:rsidRPr="004E2B72" w:rsidRDefault="00A71AB2" w:rsidP="00073E78">
            <w:pPr>
              <w:spacing w:after="0"/>
              <w:jc w:val="both"/>
              <w:rPr>
                <w:rFonts w:cs="Arial"/>
              </w:rPr>
            </w:pPr>
          </w:p>
        </w:tc>
        <w:tc>
          <w:tcPr>
            <w:tcW w:w="2235" w:type="dxa"/>
          </w:tcPr>
          <w:p w14:paraId="14B84938"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7CDDB05F"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A71AB2" w:rsidRPr="004E2B72" w14:paraId="5D8F0DE1" w14:textId="77777777" w:rsidTr="00EC0C28">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37DE33BD" w14:textId="77777777" w:rsidR="00A71AB2" w:rsidRPr="004E2B72" w:rsidRDefault="00A71AB2" w:rsidP="00073E78">
            <w:pPr>
              <w:spacing w:after="0"/>
              <w:jc w:val="both"/>
              <w:rPr>
                <w:rFonts w:cs="Arial"/>
              </w:rPr>
            </w:pPr>
          </w:p>
        </w:tc>
        <w:tc>
          <w:tcPr>
            <w:tcW w:w="8472" w:type="dxa"/>
            <w:gridSpan w:val="2"/>
          </w:tcPr>
          <w:p w14:paraId="095002FB" w14:textId="700A70D6"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G2. Projekty upgrade systémového SW</w:t>
            </w:r>
          </w:p>
        </w:tc>
      </w:tr>
      <w:tr w:rsidR="00A71AB2" w:rsidRPr="004E2B72" w14:paraId="368B7DC1"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1FAE233" w14:textId="77777777" w:rsidR="00A71AB2" w:rsidRPr="004E2B72" w:rsidRDefault="00A71AB2" w:rsidP="00073E78">
            <w:pPr>
              <w:spacing w:after="0"/>
              <w:jc w:val="both"/>
              <w:rPr>
                <w:rFonts w:cs="Arial"/>
              </w:rPr>
            </w:pPr>
          </w:p>
        </w:tc>
        <w:tc>
          <w:tcPr>
            <w:tcW w:w="2235" w:type="dxa"/>
          </w:tcPr>
          <w:p w14:paraId="40C4B870"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55E4688B"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A71AB2" w:rsidRPr="004E2B72" w14:paraId="1BF97BD4" w14:textId="77777777" w:rsidTr="00EC0C28">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047445BD" w14:textId="77777777" w:rsidR="00A71AB2" w:rsidRPr="004E2B72" w:rsidRDefault="00A71AB2" w:rsidP="00073E78">
            <w:pPr>
              <w:spacing w:after="0"/>
              <w:jc w:val="both"/>
              <w:rPr>
                <w:rFonts w:cs="Arial"/>
              </w:rPr>
            </w:pPr>
          </w:p>
        </w:tc>
        <w:tc>
          <w:tcPr>
            <w:tcW w:w="8472" w:type="dxa"/>
            <w:gridSpan w:val="2"/>
          </w:tcPr>
          <w:p w14:paraId="63D5CBD4" w14:textId="2736C524"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G3. Projekty technologického upgrade</w:t>
            </w:r>
          </w:p>
        </w:tc>
      </w:tr>
      <w:tr w:rsidR="00A71AB2" w:rsidRPr="004E2B72" w14:paraId="54F54BD9"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ABFCE70" w14:textId="77777777" w:rsidR="00A71AB2" w:rsidRPr="004E2B72" w:rsidRDefault="00A71AB2" w:rsidP="00073E78">
            <w:pPr>
              <w:spacing w:after="0"/>
              <w:jc w:val="both"/>
              <w:rPr>
                <w:rFonts w:cs="Arial"/>
              </w:rPr>
            </w:pPr>
          </w:p>
        </w:tc>
        <w:tc>
          <w:tcPr>
            <w:tcW w:w="2235" w:type="dxa"/>
          </w:tcPr>
          <w:p w14:paraId="0B5F8A5D"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6B4BC5EF"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A71AB2" w:rsidRPr="004E2B72" w14:paraId="20CAA30C"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7DD8F17" w14:textId="77777777" w:rsidR="00A71AB2" w:rsidRPr="004E2B72" w:rsidRDefault="00A71AB2" w:rsidP="00073E78">
            <w:pPr>
              <w:spacing w:after="0"/>
              <w:jc w:val="both"/>
              <w:rPr>
                <w:rFonts w:cs="Arial"/>
              </w:rPr>
            </w:pPr>
          </w:p>
        </w:tc>
        <w:tc>
          <w:tcPr>
            <w:tcW w:w="8472" w:type="dxa"/>
            <w:gridSpan w:val="2"/>
          </w:tcPr>
          <w:p w14:paraId="1E14D8B7" w14:textId="748DE32D"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G2. Projekty infrastrukturního upgrade</w:t>
            </w:r>
          </w:p>
        </w:tc>
      </w:tr>
      <w:tr w:rsidR="00A71AB2" w:rsidRPr="004E2B72" w14:paraId="505BC9EF" w14:textId="77777777" w:rsidTr="00EC0C28">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CCD7277" w14:textId="77777777" w:rsidR="00A71AB2" w:rsidRPr="004E2B72" w:rsidRDefault="00A71AB2" w:rsidP="00073E78">
            <w:pPr>
              <w:spacing w:after="0"/>
              <w:jc w:val="both"/>
              <w:rPr>
                <w:rFonts w:cs="Arial"/>
              </w:rPr>
            </w:pPr>
          </w:p>
        </w:tc>
        <w:tc>
          <w:tcPr>
            <w:tcW w:w="8472" w:type="dxa"/>
            <w:gridSpan w:val="2"/>
          </w:tcPr>
          <w:p w14:paraId="3FC3A9F4" w14:textId="77777777" w:rsidR="00A71AB2" w:rsidRPr="004E2B72" w:rsidRDefault="00A71AB2"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E251DC" w:rsidRPr="004E2B72" w14:paraId="0534640F" w14:textId="3C6948D2" w:rsidTr="00314FC1">
        <w:trPr>
          <w:trHeight w:val="20"/>
        </w:trPr>
        <w:tc>
          <w:tcPr>
            <w:cnfStyle w:val="001000000000" w:firstRow="0" w:lastRow="0" w:firstColumn="1" w:lastColumn="0" w:oddVBand="0" w:evenVBand="0" w:oddHBand="0" w:evenHBand="0" w:firstRowFirstColumn="0" w:firstRowLastColumn="0" w:lastRowFirstColumn="0" w:lastRowLastColumn="0"/>
            <w:tcW w:w="9606" w:type="dxa"/>
            <w:gridSpan w:val="3"/>
          </w:tcPr>
          <w:p w14:paraId="2E1B6813" w14:textId="10367F90" w:rsidR="00E251DC" w:rsidRPr="004E2B72" w:rsidRDefault="00E251DC" w:rsidP="00073E78">
            <w:pPr>
              <w:spacing w:after="0"/>
              <w:jc w:val="both"/>
              <w:rPr>
                <w:rFonts w:cs="Arial"/>
              </w:rPr>
            </w:pPr>
            <w:r w:rsidRPr="004E2B72">
              <w:rPr>
                <w:rFonts w:cs="Arial"/>
              </w:rPr>
              <w:t>H. Zvýšené náklady užívání řešení (pokud se vyskytnou)</w:t>
            </w:r>
          </w:p>
        </w:tc>
      </w:tr>
      <w:tr w:rsidR="006E6608" w:rsidRPr="004E2B72" w14:paraId="2C183FF7" w14:textId="77777777" w:rsidTr="00EC0C28">
        <w:trPr>
          <w:trHeight w:val="2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2E0A2E8A" w14:textId="77777777" w:rsidR="006E6608" w:rsidRPr="004E2B72" w:rsidRDefault="006E6608" w:rsidP="00073E78">
            <w:pPr>
              <w:spacing w:after="0"/>
              <w:jc w:val="both"/>
              <w:rPr>
                <w:rFonts w:cs="Arial"/>
              </w:rPr>
            </w:pPr>
          </w:p>
        </w:tc>
        <w:tc>
          <w:tcPr>
            <w:tcW w:w="8472" w:type="dxa"/>
            <w:gridSpan w:val="2"/>
          </w:tcPr>
          <w:p w14:paraId="69BDA964" w14:textId="3E5E6931"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H1. Náklady ze ztráty produktivity</w:t>
            </w:r>
          </w:p>
        </w:tc>
      </w:tr>
      <w:tr w:rsidR="006E6608" w:rsidRPr="004E2B72" w14:paraId="610228E4"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3685BD4C" w14:textId="77777777" w:rsidR="006E6608" w:rsidRPr="004E2B72" w:rsidRDefault="006E6608" w:rsidP="00073E78">
            <w:pPr>
              <w:spacing w:after="0"/>
              <w:jc w:val="both"/>
              <w:rPr>
                <w:rFonts w:cs="Arial"/>
              </w:rPr>
            </w:pPr>
          </w:p>
        </w:tc>
        <w:tc>
          <w:tcPr>
            <w:tcW w:w="2235" w:type="dxa"/>
          </w:tcPr>
          <w:p w14:paraId="43BBD165" w14:textId="77777777"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175CDFCB" w14:textId="2AE78ADF"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H1.1 Tréninky</w:t>
            </w:r>
          </w:p>
        </w:tc>
      </w:tr>
      <w:tr w:rsidR="006E6608" w:rsidRPr="004E2B72" w14:paraId="554C2591"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F1B7CB0" w14:textId="77777777" w:rsidR="006E6608" w:rsidRPr="004E2B72" w:rsidRDefault="006E6608" w:rsidP="00073E78">
            <w:pPr>
              <w:spacing w:after="0"/>
              <w:jc w:val="both"/>
              <w:rPr>
                <w:rFonts w:cs="Arial"/>
              </w:rPr>
            </w:pPr>
          </w:p>
        </w:tc>
        <w:tc>
          <w:tcPr>
            <w:tcW w:w="2235" w:type="dxa"/>
          </w:tcPr>
          <w:p w14:paraId="5C8B5E0D" w14:textId="77777777"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69A40B23" w14:textId="0FC750E6"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H1.2 Odstávky a výpadky</w:t>
            </w:r>
          </w:p>
        </w:tc>
      </w:tr>
      <w:tr w:rsidR="006E6608" w:rsidRPr="004E2B72" w14:paraId="2E9A8803" w14:textId="77777777" w:rsidTr="00EC0C28">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0B00C16C" w14:textId="77777777" w:rsidR="006E6608" w:rsidRPr="004E2B72" w:rsidRDefault="006E6608" w:rsidP="00073E78">
            <w:pPr>
              <w:spacing w:after="0"/>
              <w:jc w:val="both"/>
              <w:rPr>
                <w:rFonts w:cs="Arial"/>
              </w:rPr>
            </w:pPr>
          </w:p>
        </w:tc>
        <w:tc>
          <w:tcPr>
            <w:tcW w:w="8472" w:type="dxa"/>
            <w:gridSpan w:val="2"/>
          </w:tcPr>
          <w:p w14:paraId="70CAC954" w14:textId="5EB160C3"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 xml:space="preserve">H2. Náklady spojené s užíváním řešení </w:t>
            </w:r>
          </w:p>
        </w:tc>
      </w:tr>
      <w:tr w:rsidR="006E6608" w:rsidRPr="004E2B72" w14:paraId="0A731276"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12AFDA1" w14:textId="77777777" w:rsidR="006E6608" w:rsidRPr="004E2B72" w:rsidRDefault="006E6608" w:rsidP="00073E78">
            <w:pPr>
              <w:spacing w:after="0"/>
              <w:jc w:val="both"/>
              <w:rPr>
                <w:rFonts w:cs="Arial"/>
              </w:rPr>
            </w:pPr>
          </w:p>
        </w:tc>
        <w:tc>
          <w:tcPr>
            <w:tcW w:w="2235" w:type="dxa"/>
          </w:tcPr>
          <w:p w14:paraId="2950EB1F" w14:textId="77777777"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2058D1BD" w14:textId="035278B2"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H2.1 Pokles výkonnosti a efektivity v souvislosti s novým řešením</w:t>
            </w:r>
          </w:p>
        </w:tc>
      </w:tr>
      <w:tr w:rsidR="00E251DC" w:rsidRPr="004E2B72" w14:paraId="0D1F4063" w14:textId="6C746BD4" w:rsidTr="00314FC1">
        <w:trPr>
          <w:trHeight w:val="20"/>
        </w:trPr>
        <w:tc>
          <w:tcPr>
            <w:cnfStyle w:val="001000000000" w:firstRow="0" w:lastRow="0" w:firstColumn="1" w:lastColumn="0" w:oddVBand="0" w:evenVBand="0" w:oddHBand="0" w:evenHBand="0" w:firstRowFirstColumn="0" w:firstRowLastColumn="0" w:lastRowFirstColumn="0" w:lastRowLastColumn="0"/>
            <w:tcW w:w="9606" w:type="dxa"/>
            <w:gridSpan w:val="3"/>
          </w:tcPr>
          <w:p w14:paraId="4959966E" w14:textId="0DA41B6D" w:rsidR="00E251DC" w:rsidRPr="004E2B72" w:rsidRDefault="00E251DC" w:rsidP="00073E78">
            <w:pPr>
              <w:spacing w:after="0"/>
              <w:jc w:val="both"/>
              <w:rPr>
                <w:rFonts w:cs="Arial"/>
              </w:rPr>
            </w:pPr>
            <w:r w:rsidRPr="004E2B72">
              <w:rPr>
                <w:rFonts w:cs="Arial"/>
              </w:rPr>
              <w:t xml:space="preserve">I. </w:t>
            </w:r>
            <w:r w:rsidR="00F275C6" w:rsidRPr="004E2B72">
              <w:rPr>
                <w:rFonts w:cs="Arial"/>
              </w:rPr>
              <w:t>Útlum, k</w:t>
            </w:r>
            <w:r w:rsidRPr="004E2B72">
              <w:rPr>
                <w:rFonts w:cs="Arial"/>
              </w:rPr>
              <w:t>onzervace a ukončení řešení</w:t>
            </w:r>
          </w:p>
        </w:tc>
      </w:tr>
      <w:tr w:rsidR="006E6608" w:rsidRPr="004E2B72" w14:paraId="26D3C377"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24FCF59D" w14:textId="77777777" w:rsidR="006E6608" w:rsidRPr="004E2B72" w:rsidRDefault="006E6608" w:rsidP="00073E78">
            <w:pPr>
              <w:spacing w:after="0"/>
              <w:jc w:val="both"/>
              <w:rPr>
                <w:rFonts w:cs="Arial"/>
              </w:rPr>
            </w:pPr>
          </w:p>
        </w:tc>
        <w:tc>
          <w:tcPr>
            <w:tcW w:w="8472" w:type="dxa"/>
            <w:gridSpan w:val="2"/>
          </w:tcPr>
          <w:p w14:paraId="7250F4FF" w14:textId="16FFB804"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szCs w:val="22"/>
              </w:rPr>
              <w:t>I1. Archivace, zakonzervování a útlum řešení</w:t>
            </w:r>
          </w:p>
        </w:tc>
      </w:tr>
      <w:tr w:rsidR="006E6608" w:rsidRPr="004E2B72" w14:paraId="05617307"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9FF1AA7" w14:textId="77777777" w:rsidR="006E6608" w:rsidRPr="004E2B72" w:rsidRDefault="006E6608" w:rsidP="00073E78">
            <w:pPr>
              <w:spacing w:after="0"/>
              <w:jc w:val="both"/>
              <w:rPr>
                <w:rFonts w:cs="Arial"/>
              </w:rPr>
            </w:pPr>
          </w:p>
        </w:tc>
        <w:tc>
          <w:tcPr>
            <w:tcW w:w="2235" w:type="dxa"/>
          </w:tcPr>
          <w:p w14:paraId="3AAE5116" w14:textId="77777777"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szCs w:val="22"/>
              </w:rPr>
            </w:pPr>
          </w:p>
        </w:tc>
        <w:tc>
          <w:tcPr>
            <w:tcW w:w="6237" w:type="dxa"/>
          </w:tcPr>
          <w:p w14:paraId="4C69795B" w14:textId="77777777"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6E6608" w:rsidRPr="004E2B72" w14:paraId="44565A10"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6DFC4E4C" w14:textId="77777777" w:rsidR="006E6608" w:rsidRPr="004E2B72" w:rsidRDefault="006E6608" w:rsidP="00073E78">
            <w:pPr>
              <w:spacing w:after="0"/>
              <w:jc w:val="both"/>
              <w:rPr>
                <w:rFonts w:cs="Arial"/>
              </w:rPr>
            </w:pPr>
          </w:p>
        </w:tc>
        <w:tc>
          <w:tcPr>
            <w:tcW w:w="8472" w:type="dxa"/>
            <w:gridSpan w:val="2"/>
          </w:tcPr>
          <w:p w14:paraId="65212A08" w14:textId="5004D2FB"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szCs w:val="22"/>
              </w:rPr>
              <w:t>I2. Příprava dat pro migraci z řešení při ukončení</w:t>
            </w:r>
          </w:p>
        </w:tc>
      </w:tr>
      <w:tr w:rsidR="006E6608" w:rsidRPr="004E2B72" w14:paraId="7D925B5C"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CE27414" w14:textId="77777777" w:rsidR="006E6608" w:rsidRPr="004E2B72" w:rsidRDefault="006E6608" w:rsidP="00073E78">
            <w:pPr>
              <w:spacing w:after="0"/>
              <w:jc w:val="both"/>
              <w:rPr>
                <w:rFonts w:cs="Arial"/>
              </w:rPr>
            </w:pPr>
          </w:p>
        </w:tc>
        <w:tc>
          <w:tcPr>
            <w:tcW w:w="2235" w:type="dxa"/>
          </w:tcPr>
          <w:p w14:paraId="768C1A79" w14:textId="77777777"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szCs w:val="22"/>
              </w:rPr>
            </w:pPr>
          </w:p>
        </w:tc>
        <w:tc>
          <w:tcPr>
            <w:tcW w:w="6237" w:type="dxa"/>
          </w:tcPr>
          <w:p w14:paraId="77E093C8" w14:textId="77777777"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6E6608" w:rsidRPr="004E2B72" w14:paraId="6DF302E1"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213CA89A" w14:textId="77777777" w:rsidR="006E6608" w:rsidRPr="004E2B72" w:rsidRDefault="006E6608" w:rsidP="00073E78">
            <w:pPr>
              <w:spacing w:after="0"/>
              <w:jc w:val="both"/>
              <w:rPr>
                <w:rFonts w:cs="Arial"/>
              </w:rPr>
            </w:pPr>
          </w:p>
        </w:tc>
        <w:tc>
          <w:tcPr>
            <w:tcW w:w="8472" w:type="dxa"/>
            <w:gridSpan w:val="2"/>
          </w:tcPr>
          <w:p w14:paraId="01567C81" w14:textId="79AE1EF9"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szCs w:val="22"/>
              </w:rPr>
              <w:t>I1. Likvidace komponent řešení</w:t>
            </w:r>
          </w:p>
        </w:tc>
      </w:tr>
      <w:tr w:rsidR="006E6608" w:rsidRPr="004E2B72" w14:paraId="014DD0F6"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B9502CD" w14:textId="77777777" w:rsidR="006E6608" w:rsidRPr="004E2B72" w:rsidRDefault="006E6608" w:rsidP="00073E78">
            <w:pPr>
              <w:spacing w:after="0"/>
              <w:jc w:val="both"/>
              <w:rPr>
                <w:rFonts w:cs="Arial"/>
              </w:rPr>
            </w:pPr>
          </w:p>
        </w:tc>
        <w:tc>
          <w:tcPr>
            <w:tcW w:w="2235" w:type="dxa"/>
          </w:tcPr>
          <w:p w14:paraId="2E9957C7" w14:textId="77777777"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4BC936F2" w14:textId="77777777"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6E6608" w:rsidRPr="004E2B72" w14:paraId="558D72AB" w14:textId="0CECE1E4" w:rsidTr="00314FC1">
        <w:trPr>
          <w:trHeight w:val="20"/>
        </w:trPr>
        <w:tc>
          <w:tcPr>
            <w:cnfStyle w:val="001000000000" w:firstRow="0" w:lastRow="0" w:firstColumn="1" w:lastColumn="0" w:oddVBand="0" w:evenVBand="0" w:oddHBand="0" w:evenHBand="0" w:firstRowFirstColumn="0" w:firstRowLastColumn="0" w:lastRowFirstColumn="0" w:lastRowLastColumn="0"/>
            <w:tcW w:w="9606" w:type="dxa"/>
            <w:gridSpan w:val="3"/>
          </w:tcPr>
          <w:p w14:paraId="76A298D4" w14:textId="71DC46AA" w:rsidR="006E6608" w:rsidRPr="004E2B72" w:rsidRDefault="006E6608" w:rsidP="00073E78">
            <w:pPr>
              <w:spacing w:after="0"/>
              <w:jc w:val="both"/>
              <w:rPr>
                <w:rFonts w:cs="Arial"/>
              </w:rPr>
            </w:pPr>
            <w:r w:rsidRPr="004E2B72">
              <w:rPr>
                <w:rFonts w:cs="Arial"/>
              </w:rPr>
              <w:t xml:space="preserve">X. </w:t>
            </w:r>
            <w:r w:rsidR="00304357" w:rsidRPr="004E2B72">
              <w:rPr>
                <w:rFonts w:cs="Arial"/>
              </w:rPr>
              <w:t>Řešení jako služba (</w:t>
            </w:r>
            <w:r w:rsidRPr="004E2B72">
              <w:rPr>
                <w:rFonts w:cs="Arial"/>
              </w:rPr>
              <w:t>Licence</w:t>
            </w:r>
            <w:r w:rsidR="00304357" w:rsidRPr="004E2B72">
              <w:rPr>
                <w:rFonts w:cs="Arial"/>
              </w:rPr>
              <w:t xml:space="preserve"> SW</w:t>
            </w:r>
            <w:r w:rsidRPr="004E2B72">
              <w:rPr>
                <w:rFonts w:cs="Arial"/>
              </w:rPr>
              <w:t>, HW, provoz, podpora, údržba, průběžný rozvoj</w:t>
            </w:r>
            <w:r w:rsidR="00304357" w:rsidRPr="004E2B72">
              <w:rPr>
                <w:rFonts w:cs="Arial"/>
              </w:rPr>
              <w:t>)</w:t>
            </w:r>
            <w:r w:rsidRPr="004E2B72">
              <w:rPr>
                <w:rFonts w:cs="Arial"/>
              </w:rPr>
              <w:t xml:space="preserve"> </w:t>
            </w:r>
            <w:r w:rsidR="002737F6">
              <w:rPr>
                <w:rFonts w:cs="Arial"/>
              </w:rPr>
              <w:t xml:space="preserve">- </w:t>
            </w:r>
            <w:r w:rsidRPr="004E2B72">
              <w:rPr>
                <w:rFonts w:cs="Arial"/>
              </w:rPr>
              <w:t xml:space="preserve">(pouze </w:t>
            </w:r>
            <w:r w:rsidR="00A71AB2" w:rsidRPr="004E2B72">
              <w:rPr>
                <w:rFonts w:cs="Arial"/>
              </w:rPr>
              <w:t>Cloud</w:t>
            </w:r>
            <w:r w:rsidRPr="004E2B72">
              <w:rPr>
                <w:rFonts w:cs="Arial"/>
              </w:rPr>
              <w:t>)</w:t>
            </w:r>
          </w:p>
        </w:tc>
      </w:tr>
      <w:tr w:rsidR="006E6608" w:rsidRPr="004E2B72" w14:paraId="4EBEEDE8"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3D7C8FD7" w14:textId="77777777" w:rsidR="006E6608" w:rsidRPr="004E2B72" w:rsidRDefault="006E6608" w:rsidP="00073E78">
            <w:pPr>
              <w:spacing w:after="0"/>
              <w:jc w:val="both"/>
              <w:rPr>
                <w:rFonts w:cs="Arial"/>
              </w:rPr>
            </w:pPr>
          </w:p>
        </w:tc>
        <w:tc>
          <w:tcPr>
            <w:tcW w:w="8472" w:type="dxa"/>
            <w:gridSpan w:val="2"/>
          </w:tcPr>
          <w:p w14:paraId="1827ED15" w14:textId="292D1C37"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 xml:space="preserve">X1. </w:t>
            </w:r>
            <w:r w:rsidR="00551487" w:rsidRPr="004E2B72">
              <w:rPr>
                <w:rFonts w:cs="Arial"/>
              </w:rPr>
              <w:t xml:space="preserve">Poplatek za cloudové </w:t>
            </w:r>
            <w:r w:rsidRPr="004E2B72">
              <w:rPr>
                <w:rFonts w:cs="Arial"/>
              </w:rPr>
              <w:t>služby</w:t>
            </w:r>
          </w:p>
        </w:tc>
      </w:tr>
      <w:tr w:rsidR="006E6608" w:rsidRPr="004E2B72" w14:paraId="3CC7BDC2"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53CD7AA9" w14:textId="77777777" w:rsidR="006E6608" w:rsidRPr="004E2B72" w:rsidRDefault="006E6608" w:rsidP="00073E78">
            <w:pPr>
              <w:spacing w:after="0"/>
              <w:jc w:val="both"/>
              <w:rPr>
                <w:rFonts w:cs="Arial"/>
              </w:rPr>
            </w:pPr>
          </w:p>
        </w:tc>
        <w:tc>
          <w:tcPr>
            <w:tcW w:w="2235" w:type="dxa"/>
          </w:tcPr>
          <w:p w14:paraId="0CE791E5" w14:textId="77777777"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c>
          <w:tcPr>
            <w:tcW w:w="6237" w:type="dxa"/>
          </w:tcPr>
          <w:p w14:paraId="2AD4B245" w14:textId="77777777" w:rsidR="006E6608" w:rsidRPr="004E2B72" w:rsidRDefault="006E6608" w:rsidP="00073E78">
            <w:pPr>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6E6608" w:rsidRPr="004E2B72" w14:paraId="702901B8" w14:textId="56CDF546" w:rsidTr="00314FC1">
        <w:trPr>
          <w:trHeight w:val="20"/>
        </w:trPr>
        <w:tc>
          <w:tcPr>
            <w:cnfStyle w:val="001000000000" w:firstRow="0" w:lastRow="0" w:firstColumn="1" w:lastColumn="0" w:oddVBand="0" w:evenVBand="0" w:oddHBand="0" w:evenHBand="0" w:firstRowFirstColumn="0" w:firstRowLastColumn="0" w:lastRowFirstColumn="0" w:lastRowLastColumn="0"/>
            <w:tcW w:w="9606" w:type="dxa"/>
            <w:gridSpan w:val="3"/>
          </w:tcPr>
          <w:p w14:paraId="36476CCD" w14:textId="3B1512EB" w:rsidR="006E6608" w:rsidRPr="004E2B72" w:rsidRDefault="006E6608" w:rsidP="00073E78">
            <w:pPr>
              <w:spacing w:after="0"/>
              <w:jc w:val="both"/>
              <w:rPr>
                <w:rFonts w:cs="Arial"/>
              </w:rPr>
            </w:pPr>
            <w:r w:rsidRPr="004E2B72">
              <w:rPr>
                <w:rFonts w:cs="Arial"/>
              </w:rPr>
              <w:t xml:space="preserve">Z. </w:t>
            </w:r>
            <w:r w:rsidR="00F275C6" w:rsidRPr="004E2B72">
              <w:rPr>
                <w:rFonts w:cs="Arial"/>
              </w:rPr>
              <w:t>Ostatní, do fází životního cyklu nerozlišitelné režijní náklady</w:t>
            </w:r>
            <w:r w:rsidR="000A5033" w:rsidRPr="004E2B72">
              <w:rPr>
                <w:rFonts w:cs="Arial"/>
              </w:rPr>
              <w:t xml:space="preserve"> (pokud se je nepodaří přiřadit)</w:t>
            </w:r>
          </w:p>
        </w:tc>
      </w:tr>
      <w:tr w:rsidR="006E6608" w:rsidRPr="004E2B72" w14:paraId="31628AEE" w14:textId="77777777"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2351B714" w14:textId="77777777" w:rsidR="006E6608" w:rsidRPr="004E2B72" w:rsidRDefault="006E6608" w:rsidP="00073E78">
            <w:pPr>
              <w:spacing w:after="0"/>
              <w:jc w:val="both"/>
              <w:rPr>
                <w:rFonts w:cs="Arial"/>
              </w:rPr>
            </w:pPr>
          </w:p>
        </w:tc>
        <w:tc>
          <w:tcPr>
            <w:tcW w:w="8472" w:type="dxa"/>
            <w:gridSpan w:val="2"/>
          </w:tcPr>
          <w:p w14:paraId="60AB943B" w14:textId="7A102EC4" w:rsidR="006E6608" w:rsidRPr="004E2B72" w:rsidRDefault="006E6608" w:rsidP="00073E78">
            <w:pPr>
              <w:pStyle w:val="Zkladntext"/>
              <w:spacing w:after="0"/>
              <w:jc w:val="both"/>
              <w:cnfStyle w:val="000000000000" w:firstRow="0" w:lastRow="0" w:firstColumn="0" w:lastColumn="0" w:oddVBand="0" w:evenVBand="0" w:oddHBand="0" w:evenHBand="0" w:firstRowFirstColumn="0" w:firstRowLastColumn="0" w:lastRowFirstColumn="0" w:lastRowLastColumn="0"/>
              <w:rPr>
                <w:rFonts w:cs="Arial"/>
                <w:szCs w:val="22"/>
              </w:rPr>
            </w:pPr>
            <w:r w:rsidRPr="004E2B72">
              <w:rPr>
                <w:rFonts w:cs="Arial"/>
                <w:szCs w:val="22"/>
              </w:rPr>
              <w:t>Z1. provozní režie, například:</w:t>
            </w:r>
          </w:p>
        </w:tc>
      </w:tr>
      <w:tr w:rsidR="006E6608" w:rsidRPr="004E2B72" w14:paraId="130AA18F"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36690462" w14:textId="77777777" w:rsidR="006E6608" w:rsidRPr="004E2B72" w:rsidRDefault="006E6608" w:rsidP="00073E78">
            <w:pPr>
              <w:spacing w:after="0"/>
              <w:jc w:val="both"/>
              <w:rPr>
                <w:rFonts w:cs="Arial"/>
              </w:rPr>
            </w:pPr>
          </w:p>
        </w:tc>
        <w:tc>
          <w:tcPr>
            <w:tcW w:w="2235" w:type="dxa"/>
          </w:tcPr>
          <w:p w14:paraId="75D9E8E8" w14:textId="77777777" w:rsidR="006E6608" w:rsidRPr="004E2B72" w:rsidRDefault="006E6608" w:rsidP="00073E78">
            <w:pPr>
              <w:pStyle w:val="Zkladntext"/>
              <w:spacing w:after="0"/>
              <w:jc w:val="both"/>
              <w:cnfStyle w:val="000000000000" w:firstRow="0" w:lastRow="0" w:firstColumn="0" w:lastColumn="0" w:oddVBand="0" w:evenVBand="0" w:oddHBand="0" w:evenHBand="0" w:firstRowFirstColumn="0" w:firstRowLastColumn="0" w:lastRowFirstColumn="0" w:lastRowLastColumn="0"/>
              <w:rPr>
                <w:rFonts w:cs="Arial"/>
                <w:szCs w:val="22"/>
              </w:rPr>
            </w:pPr>
          </w:p>
        </w:tc>
        <w:tc>
          <w:tcPr>
            <w:tcW w:w="6237" w:type="dxa"/>
          </w:tcPr>
          <w:p w14:paraId="1564E3BA" w14:textId="77777777" w:rsidR="006E6608" w:rsidRPr="004E2B72" w:rsidRDefault="006E6608" w:rsidP="00073E78">
            <w:pPr>
              <w:pStyle w:val="Zkladntext"/>
              <w:numPr>
                <w:ilvl w:val="0"/>
                <w:numId w:val="28"/>
              </w:numPr>
              <w:spacing w:after="0"/>
              <w:ind w:hanging="780"/>
              <w:jc w:val="both"/>
              <w:cnfStyle w:val="000000000000" w:firstRow="0" w:lastRow="0" w:firstColumn="0" w:lastColumn="0" w:oddVBand="0" w:evenVBand="0" w:oddHBand="0" w:evenHBand="0" w:firstRowFirstColumn="0" w:firstRowLastColumn="0" w:lastRowFirstColumn="0" w:lastRowLastColumn="0"/>
              <w:rPr>
                <w:rFonts w:cs="Arial"/>
                <w:szCs w:val="22"/>
              </w:rPr>
            </w:pPr>
            <w:r w:rsidRPr="004E2B72">
              <w:rPr>
                <w:rFonts w:cs="Arial"/>
                <w:szCs w:val="22"/>
              </w:rPr>
              <w:t>elektrická energie, vytápění, chlazení a jiné</w:t>
            </w:r>
          </w:p>
          <w:p w14:paraId="5A81150F" w14:textId="77777777" w:rsidR="006E6608" w:rsidRPr="004E2B72" w:rsidRDefault="006E6608" w:rsidP="00073E78">
            <w:pPr>
              <w:pStyle w:val="Zkladntext"/>
              <w:numPr>
                <w:ilvl w:val="0"/>
                <w:numId w:val="28"/>
              </w:numPr>
              <w:spacing w:after="0"/>
              <w:ind w:hanging="780"/>
              <w:jc w:val="both"/>
              <w:cnfStyle w:val="000000000000" w:firstRow="0" w:lastRow="0" w:firstColumn="0" w:lastColumn="0" w:oddVBand="0" w:evenVBand="0" w:oddHBand="0" w:evenHBand="0" w:firstRowFirstColumn="0" w:firstRowLastColumn="0" w:lastRowFirstColumn="0" w:lastRowLastColumn="0"/>
              <w:rPr>
                <w:rFonts w:cs="Arial"/>
                <w:szCs w:val="22"/>
              </w:rPr>
            </w:pPr>
            <w:r w:rsidRPr="004E2B72">
              <w:rPr>
                <w:rFonts w:cs="Arial"/>
                <w:szCs w:val="22"/>
              </w:rPr>
              <w:t>poplatky za komunikační cesty (konektivitu)</w:t>
            </w:r>
          </w:p>
          <w:p w14:paraId="43C90D28" w14:textId="2511CD06" w:rsidR="006E6608" w:rsidRPr="004E2B72" w:rsidRDefault="006E6608" w:rsidP="00073E78">
            <w:pPr>
              <w:pStyle w:val="Zkladntext"/>
              <w:numPr>
                <w:ilvl w:val="0"/>
                <w:numId w:val="28"/>
              </w:numPr>
              <w:spacing w:after="0"/>
              <w:ind w:hanging="780"/>
              <w:jc w:val="both"/>
              <w:cnfStyle w:val="000000000000" w:firstRow="0" w:lastRow="0" w:firstColumn="0" w:lastColumn="0" w:oddVBand="0" w:evenVBand="0" w:oddHBand="0" w:evenHBand="0" w:firstRowFirstColumn="0" w:firstRowLastColumn="0" w:lastRowFirstColumn="0" w:lastRowLastColumn="0"/>
              <w:rPr>
                <w:rFonts w:cs="Arial"/>
                <w:szCs w:val="22"/>
              </w:rPr>
            </w:pPr>
            <w:r w:rsidRPr="004E2B72">
              <w:rPr>
                <w:rFonts w:cs="Arial"/>
                <w:szCs w:val="22"/>
              </w:rPr>
              <w:t>spotřební materiál</w:t>
            </w:r>
          </w:p>
        </w:tc>
      </w:tr>
      <w:tr w:rsidR="006E6608" w:rsidRPr="004E2B72" w14:paraId="693DB2BF" w14:textId="6D25BD4D" w:rsidTr="003F697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7033D5BE" w14:textId="276ED93D" w:rsidR="006E6608" w:rsidRPr="004E2B72" w:rsidRDefault="006E6608" w:rsidP="00073E78">
            <w:pPr>
              <w:spacing w:after="0"/>
              <w:jc w:val="both"/>
              <w:rPr>
                <w:rFonts w:cs="Arial"/>
              </w:rPr>
            </w:pPr>
          </w:p>
        </w:tc>
        <w:tc>
          <w:tcPr>
            <w:tcW w:w="8472" w:type="dxa"/>
            <w:gridSpan w:val="2"/>
          </w:tcPr>
          <w:p w14:paraId="5BDC2217" w14:textId="1B7998A1" w:rsidR="006E6608" w:rsidRPr="004E2B72" w:rsidRDefault="006E6608" w:rsidP="00073E78">
            <w:pPr>
              <w:pStyle w:val="Zkladntext"/>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szCs w:val="22"/>
              </w:rPr>
              <w:t>Z2. správní režie, například:</w:t>
            </w:r>
          </w:p>
        </w:tc>
      </w:tr>
      <w:tr w:rsidR="006E6608" w:rsidRPr="004E2B72" w14:paraId="68645296" w14:textId="77777777" w:rsidTr="00314FC1">
        <w:trPr>
          <w:trHeight w:val="20"/>
        </w:trPr>
        <w:tc>
          <w:tcPr>
            <w:cnfStyle w:val="001000000000" w:firstRow="0" w:lastRow="0" w:firstColumn="1" w:lastColumn="0" w:oddVBand="0" w:evenVBand="0" w:oddHBand="0" w:evenHBand="0" w:firstRowFirstColumn="0" w:firstRowLastColumn="0" w:lastRowFirstColumn="0" w:lastRowLastColumn="0"/>
            <w:tcW w:w="1134" w:type="dxa"/>
            <w:vMerge/>
          </w:tcPr>
          <w:p w14:paraId="4787EDF6" w14:textId="77777777" w:rsidR="006E6608" w:rsidRPr="004E2B72" w:rsidRDefault="006E6608" w:rsidP="00073E78">
            <w:pPr>
              <w:spacing w:after="0"/>
              <w:jc w:val="both"/>
              <w:rPr>
                <w:rFonts w:cs="Arial"/>
              </w:rPr>
            </w:pPr>
          </w:p>
        </w:tc>
        <w:tc>
          <w:tcPr>
            <w:tcW w:w="2235" w:type="dxa"/>
          </w:tcPr>
          <w:p w14:paraId="44C0C1BF" w14:textId="77777777" w:rsidR="006E6608" w:rsidRPr="004E2B72" w:rsidRDefault="006E6608" w:rsidP="00073E78">
            <w:pPr>
              <w:pStyle w:val="Zkladntext"/>
              <w:spacing w:after="0"/>
              <w:jc w:val="both"/>
              <w:cnfStyle w:val="000000000000" w:firstRow="0" w:lastRow="0" w:firstColumn="0" w:lastColumn="0" w:oddVBand="0" w:evenVBand="0" w:oddHBand="0" w:evenHBand="0" w:firstRowFirstColumn="0" w:firstRowLastColumn="0" w:lastRowFirstColumn="0" w:lastRowLastColumn="0"/>
              <w:rPr>
                <w:rFonts w:cs="Arial"/>
                <w:szCs w:val="22"/>
              </w:rPr>
            </w:pPr>
          </w:p>
        </w:tc>
        <w:tc>
          <w:tcPr>
            <w:tcW w:w="6237" w:type="dxa"/>
          </w:tcPr>
          <w:p w14:paraId="18286271" w14:textId="77777777" w:rsidR="006E6608" w:rsidRPr="004E2B72" w:rsidRDefault="006E6608" w:rsidP="00073E78">
            <w:pPr>
              <w:pStyle w:val="Zkladntext"/>
              <w:numPr>
                <w:ilvl w:val="0"/>
                <w:numId w:val="28"/>
              </w:numPr>
              <w:spacing w:after="0"/>
              <w:ind w:hanging="780"/>
              <w:jc w:val="both"/>
              <w:cnfStyle w:val="000000000000" w:firstRow="0" w:lastRow="0" w:firstColumn="0" w:lastColumn="0" w:oddVBand="0" w:evenVBand="0" w:oddHBand="0" w:evenHBand="0" w:firstRowFirstColumn="0" w:firstRowLastColumn="0" w:lastRowFirstColumn="0" w:lastRowLastColumn="0"/>
              <w:rPr>
                <w:rFonts w:cs="Arial"/>
                <w:szCs w:val="22"/>
              </w:rPr>
            </w:pPr>
            <w:r w:rsidRPr="004E2B72">
              <w:rPr>
                <w:rFonts w:cs="Arial"/>
                <w:szCs w:val="22"/>
              </w:rPr>
              <w:t xml:space="preserve">náklady na budovy připadající na danou ICT službu </w:t>
            </w:r>
          </w:p>
          <w:p w14:paraId="6055564D" w14:textId="77777777" w:rsidR="006E6608" w:rsidRPr="004E2B72" w:rsidRDefault="006E6608" w:rsidP="00073E78">
            <w:pPr>
              <w:pStyle w:val="Zkladntext"/>
              <w:numPr>
                <w:ilvl w:val="0"/>
                <w:numId w:val="28"/>
              </w:numPr>
              <w:spacing w:after="0"/>
              <w:ind w:hanging="780"/>
              <w:jc w:val="both"/>
              <w:cnfStyle w:val="000000000000" w:firstRow="0" w:lastRow="0" w:firstColumn="0" w:lastColumn="0" w:oddVBand="0" w:evenVBand="0" w:oddHBand="0" w:evenHBand="0" w:firstRowFirstColumn="0" w:firstRowLastColumn="0" w:lastRowFirstColumn="0" w:lastRowLastColumn="0"/>
              <w:rPr>
                <w:rFonts w:cs="Arial"/>
                <w:szCs w:val="22"/>
              </w:rPr>
            </w:pPr>
            <w:r w:rsidRPr="004E2B72">
              <w:rPr>
                <w:rFonts w:cs="Arial"/>
                <w:szCs w:val="22"/>
              </w:rPr>
              <w:t xml:space="preserve">náklady na management instituce připadající na danou ICT službu </w:t>
            </w:r>
          </w:p>
          <w:p w14:paraId="31D58BE3" w14:textId="44DCAC3A" w:rsidR="006E6608" w:rsidRPr="004E2B72" w:rsidRDefault="006E6608" w:rsidP="00073E78">
            <w:pPr>
              <w:pStyle w:val="Zkladntext"/>
              <w:numPr>
                <w:ilvl w:val="0"/>
                <w:numId w:val="28"/>
              </w:numPr>
              <w:spacing w:after="0"/>
              <w:ind w:hanging="780"/>
              <w:jc w:val="both"/>
              <w:cnfStyle w:val="000000000000" w:firstRow="0" w:lastRow="0" w:firstColumn="0" w:lastColumn="0" w:oddVBand="0" w:evenVBand="0" w:oddHBand="0" w:evenHBand="0" w:firstRowFirstColumn="0" w:firstRowLastColumn="0" w:lastRowFirstColumn="0" w:lastRowLastColumn="0"/>
              <w:rPr>
                <w:rFonts w:cs="Arial"/>
                <w:szCs w:val="22"/>
              </w:rPr>
            </w:pPr>
            <w:r w:rsidRPr="004E2B72">
              <w:rPr>
                <w:rFonts w:cs="Arial"/>
                <w:szCs w:val="22"/>
              </w:rPr>
              <w:t>další nerozpoznané režijní náklady</w:t>
            </w:r>
          </w:p>
        </w:tc>
      </w:tr>
    </w:tbl>
    <w:p w14:paraId="7B2AC031" w14:textId="5EA076F5" w:rsidR="003D6E0A" w:rsidRPr="004E2B72" w:rsidRDefault="003D6E0A" w:rsidP="00073E78">
      <w:pPr>
        <w:pStyle w:val="Zkladntext"/>
        <w:jc w:val="both"/>
        <w:rPr>
          <w:rFonts w:cs="Arial"/>
        </w:rPr>
      </w:pPr>
    </w:p>
    <w:p w14:paraId="699EDB1A" w14:textId="43FF93E1" w:rsidR="006C162E" w:rsidRPr="004E2B72" w:rsidRDefault="006C162E" w:rsidP="00073E78">
      <w:pPr>
        <w:pStyle w:val="Nadpis2"/>
        <w:jc w:val="both"/>
        <w:rPr>
          <w:rFonts w:cs="Arial"/>
        </w:rPr>
      </w:pPr>
      <w:bookmarkStart w:id="61" w:name="_Ref116381451"/>
      <w:bookmarkStart w:id="62" w:name="_Toc120784701"/>
      <w:r w:rsidRPr="004E2B72">
        <w:rPr>
          <w:rFonts w:cs="Arial"/>
        </w:rPr>
        <w:t>Příloha 2: Samostatné tabulkové kalkulátory TCO ISVS</w:t>
      </w:r>
      <w:bookmarkEnd w:id="61"/>
      <w:bookmarkEnd w:id="62"/>
    </w:p>
    <w:p w14:paraId="3ED8F009" w14:textId="1C54E500" w:rsidR="00EB6830" w:rsidRPr="004E2B72" w:rsidRDefault="00EB6830" w:rsidP="002737F6">
      <w:pPr>
        <w:pStyle w:val="Zkladntext"/>
        <w:jc w:val="both"/>
        <w:rPr>
          <w:rFonts w:cs="Arial"/>
        </w:rPr>
      </w:pPr>
      <w:r w:rsidRPr="004E2B72">
        <w:rPr>
          <w:rFonts w:cs="Arial"/>
        </w:rPr>
        <w:t>Tady do kapitol, nachystaných J. Voříškem, by to podle mě chtěl már úvodních slov, vysvětlujících existenci těchto nástrojů. Je potřeba ale nezabíhat do detailů, vyhrazených uživatelské příručce, která má být samostatným dokumentem.</w:t>
      </w:r>
    </w:p>
    <w:p w14:paraId="7FE1E047" w14:textId="589B170C" w:rsidR="00EB6830" w:rsidRPr="004E2B72" w:rsidRDefault="00EB6830" w:rsidP="002737F6">
      <w:pPr>
        <w:pStyle w:val="Zkladntext"/>
        <w:jc w:val="both"/>
        <w:rPr>
          <w:rFonts w:cs="Arial"/>
        </w:rPr>
      </w:pPr>
      <w:r w:rsidRPr="004E2B72">
        <w:rPr>
          <w:rFonts w:cs="Arial"/>
        </w:rPr>
        <w:t>Stejně tak může být stručně okomentována i podstata každého jednotlivého nástroje níže a klíčové rozdíly mezi nimi.</w:t>
      </w:r>
    </w:p>
    <w:p w14:paraId="370B4028" w14:textId="3B8EA00D" w:rsidR="006C162E" w:rsidRPr="004E2B72" w:rsidRDefault="006C162E" w:rsidP="002737F6">
      <w:pPr>
        <w:pStyle w:val="Nadpis3"/>
        <w:jc w:val="both"/>
        <w:rPr>
          <w:rFonts w:cs="Arial"/>
        </w:rPr>
      </w:pPr>
      <w:bookmarkStart w:id="63" w:name="_Toc120784702"/>
      <w:r w:rsidRPr="004E2B72">
        <w:rPr>
          <w:rFonts w:cs="Arial"/>
        </w:rPr>
        <w:t>Kalkulator  on-premise</w:t>
      </w:r>
      <w:bookmarkEnd w:id="63"/>
      <w:r w:rsidRPr="004E2B72">
        <w:rPr>
          <w:rFonts w:cs="Arial"/>
        </w:rPr>
        <w:t xml:space="preserve"> </w:t>
      </w:r>
    </w:p>
    <w:p w14:paraId="45A91DB1" w14:textId="77777777" w:rsidR="006C162E" w:rsidRPr="004E2B72" w:rsidRDefault="006C162E" w:rsidP="002737F6">
      <w:pPr>
        <w:pStyle w:val="Nadpis3"/>
        <w:jc w:val="both"/>
        <w:rPr>
          <w:rFonts w:cs="Arial"/>
        </w:rPr>
      </w:pPr>
      <w:bookmarkStart w:id="64" w:name="_Toc120784703"/>
      <w:r w:rsidRPr="004E2B72">
        <w:rPr>
          <w:rFonts w:cs="Arial"/>
        </w:rPr>
        <w:t>Kalkulator  cloud</w:t>
      </w:r>
      <w:bookmarkEnd w:id="64"/>
    </w:p>
    <w:p w14:paraId="03E4DD01" w14:textId="0F9F0D8F" w:rsidR="006C162E" w:rsidRDefault="006C162E" w:rsidP="002737F6">
      <w:pPr>
        <w:pStyle w:val="Nadpis3"/>
        <w:jc w:val="both"/>
        <w:rPr>
          <w:rFonts w:cs="Arial"/>
        </w:rPr>
      </w:pPr>
      <w:bookmarkStart w:id="65" w:name="_Toc120784704"/>
      <w:r w:rsidRPr="004E2B72">
        <w:rPr>
          <w:rFonts w:cs="Arial"/>
        </w:rPr>
        <w:t>Kalkulator  on-premise vers. cloud</w:t>
      </w:r>
      <w:bookmarkEnd w:id="65"/>
      <w:r w:rsidRPr="004E2B72">
        <w:rPr>
          <w:rFonts w:cs="Arial"/>
        </w:rPr>
        <w:t xml:space="preserve"> </w:t>
      </w:r>
    </w:p>
    <w:p w14:paraId="63D7DB3F" w14:textId="65183532" w:rsidR="00015C9C" w:rsidRDefault="00015C9C" w:rsidP="00C80226">
      <w:pPr>
        <w:pStyle w:val="Zkladntext"/>
      </w:pPr>
    </w:p>
    <w:p w14:paraId="6CBDB2A0" w14:textId="6A582B0C" w:rsidR="00015C9C" w:rsidRDefault="00015C9C" w:rsidP="00C80226">
      <w:pPr>
        <w:pStyle w:val="Nadpis2"/>
      </w:pPr>
      <w:bookmarkStart w:id="66" w:name="_Toc120784705"/>
      <w:r>
        <w:t>Příloha 3: Výtah z prováděcí vyhlášky</w:t>
      </w:r>
      <w:bookmarkEnd w:id="66"/>
    </w:p>
    <w:p w14:paraId="53786531" w14:textId="5E5941F3" w:rsidR="00DE7DA8" w:rsidRPr="00C80226" w:rsidRDefault="00DE7DA8" w:rsidP="00C80226">
      <w:pPr>
        <w:pStyle w:val="Zkladntext"/>
      </w:pPr>
      <w:r>
        <w:t>Tato kapitola obsahuje výběr ustanovení z připravované vyhlášky, která má nahradit aktuální vyhlášku č. 529/2006 Sb. a je aktuálně připravena do meziresortního připomínkového řízení. Následující text proto ještě může doznat změn.</w:t>
      </w:r>
    </w:p>
    <w:p w14:paraId="15467794" w14:textId="77777777" w:rsidR="00015C9C" w:rsidRPr="00015C9C" w:rsidRDefault="00015C9C" w:rsidP="00015C9C">
      <w:pPr>
        <w:tabs>
          <w:tab w:val="clear" w:pos="284"/>
          <w:tab w:val="clear" w:pos="567"/>
          <w:tab w:val="clear" w:pos="851"/>
          <w:tab w:val="clear" w:pos="1134"/>
          <w:tab w:val="clear" w:pos="1418"/>
          <w:tab w:val="clear" w:pos="9072"/>
        </w:tabs>
        <w:spacing w:before="100" w:beforeAutospacing="1" w:after="100" w:afterAutospacing="1"/>
        <w:rPr>
          <w:rFonts w:ascii="Times New Roman" w:hAnsi="Times New Roman"/>
          <w:color w:val="000000"/>
          <w:sz w:val="27"/>
          <w:szCs w:val="27"/>
        </w:rPr>
      </w:pPr>
      <w:r w:rsidRPr="00015C9C">
        <w:rPr>
          <w:rFonts w:ascii="Times New Roman" w:hAnsi="Times New Roman"/>
          <w:color w:val="000000"/>
          <w:sz w:val="27"/>
          <w:szCs w:val="27"/>
        </w:rPr>
        <w:t>Hlava X</w:t>
      </w:r>
    </w:p>
    <w:p w14:paraId="4B663604" w14:textId="77777777" w:rsidR="00015C9C" w:rsidRPr="00C80226" w:rsidRDefault="00015C9C" w:rsidP="00C80226">
      <w:pPr>
        <w:pStyle w:val="Zkladntext"/>
        <w:jc w:val="both"/>
        <w:rPr>
          <w:rFonts w:cs="Arial"/>
          <w:b/>
        </w:rPr>
      </w:pPr>
      <w:r w:rsidRPr="00C80226">
        <w:rPr>
          <w:rFonts w:cs="Arial"/>
          <w:b/>
        </w:rPr>
        <w:t>Hodnocení ekonomické výhodnosti provozu a způsobu provozu informačních systémů</w:t>
      </w:r>
    </w:p>
    <w:p w14:paraId="0CE779EC" w14:textId="77777777" w:rsidR="00015C9C" w:rsidRDefault="00015C9C" w:rsidP="00C80226">
      <w:pPr>
        <w:pStyle w:val="Zkladntext"/>
        <w:jc w:val="both"/>
        <w:rPr>
          <w:rFonts w:cs="Arial"/>
          <w:b/>
        </w:rPr>
      </w:pPr>
      <w:r w:rsidRPr="00C80226">
        <w:rPr>
          <w:rFonts w:cs="Arial"/>
          <w:b/>
        </w:rPr>
        <w:t xml:space="preserve">§ 32 </w:t>
      </w:r>
    </w:p>
    <w:p w14:paraId="2B331BB5" w14:textId="09F1661F" w:rsidR="00015C9C" w:rsidRPr="00015C9C" w:rsidRDefault="00015C9C" w:rsidP="00C80226">
      <w:pPr>
        <w:pStyle w:val="Zkladntext"/>
        <w:jc w:val="both"/>
        <w:rPr>
          <w:rFonts w:ascii="Times New Roman" w:hAnsi="Times New Roman"/>
          <w:color w:val="000000"/>
          <w:sz w:val="27"/>
          <w:szCs w:val="27"/>
        </w:rPr>
      </w:pPr>
      <w:r w:rsidRPr="00C80226">
        <w:rPr>
          <w:rFonts w:cs="Arial"/>
          <w:b/>
        </w:rPr>
        <w:t>Struktura hodnocení ekonomické výhodnosti provozu a způsobu provozu informačního systému a postupy při jeho provádění</w:t>
      </w:r>
    </w:p>
    <w:p w14:paraId="62BAC9F1" w14:textId="77777777" w:rsidR="00015C9C" w:rsidRPr="00C80226" w:rsidRDefault="00015C9C" w:rsidP="00C80226">
      <w:pPr>
        <w:pStyle w:val="Zkladntext"/>
        <w:jc w:val="both"/>
        <w:rPr>
          <w:rFonts w:cs="Arial"/>
        </w:rPr>
      </w:pPr>
      <w:r w:rsidRPr="00C80226">
        <w:rPr>
          <w:rFonts w:cs="Arial"/>
        </w:rPr>
        <w:t>(1) Strukturu hodnocení ekonomické výhodnosti provozu a způsobu provozu informačního systému tvoří</w:t>
      </w:r>
    </w:p>
    <w:p w14:paraId="32E1FE90" w14:textId="77777777" w:rsidR="00015C9C" w:rsidRPr="00C80226" w:rsidRDefault="00015C9C" w:rsidP="00C80226">
      <w:pPr>
        <w:pStyle w:val="Zkladntext"/>
        <w:jc w:val="both"/>
        <w:rPr>
          <w:rFonts w:cs="Arial"/>
        </w:rPr>
      </w:pPr>
      <w:r w:rsidRPr="00C80226">
        <w:rPr>
          <w:rFonts w:cs="Arial"/>
        </w:rPr>
        <w:t>a) výsledky pravidelných hodnocení celkových nákladů na vlastnictví informačního systému v souladu s metodikou výpočtu celkových nákladů na vlastnictví vydanou ministerstvem a</w:t>
      </w:r>
    </w:p>
    <w:p w14:paraId="22EFB640" w14:textId="77777777" w:rsidR="00015C9C" w:rsidRPr="00C80226" w:rsidRDefault="00015C9C" w:rsidP="00C80226">
      <w:pPr>
        <w:pStyle w:val="Zkladntext"/>
        <w:jc w:val="both"/>
        <w:rPr>
          <w:rFonts w:cs="Arial"/>
        </w:rPr>
      </w:pPr>
      <w:r w:rsidRPr="00C80226">
        <w:rPr>
          <w:rFonts w:cs="Arial"/>
        </w:rPr>
        <w:t>b) hodnocení ukazatelů hospodárnosti, efektivnosti a účelnosti provozu a způsobu provozu informačního systému za minulá účetní období a jejich cílové hodnoty pro příští účetní období s uvedením nezbytných předpokladů pro jejich dosažení.</w:t>
      </w:r>
    </w:p>
    <w:p w14:paraId="612F8A38" w14:textId="77777777" w:rsidR="00015C9C" w:rsidRPr="00C80226" w:rsidRDefault="00015C9C" w:rsidP="00C80226">
      <w:pPr>
        <w:pStyle w:val="Zkladntext"/>
        <w:jc w:val="both"/>
        <w:rPr>
          <w:rFonts w:cs="Arial"/>
        </w:rPr>
      </w:pPr>
      <w:r w:rsidRPr="00C80226">
        <w:rPr>
          <w:rFonts w:cs="Arial"/>
        </w:rPr>
        <w:t>(2) Orgán veřejné správy porovnává aktualizované hodnocení celkových nákladů na vlastnictví informačního systému provozovaného v majetku orgánu veřejné správy s provozováním informačního systému způsobem odlišným od provozu informačního systému v majetku orgánu veřejné správy a uvádí jej do hodnocení ekonomické výhodnosti provozu a způsobu provozu informačního systému. Orgán veřejné správy porovnává způsoby provozu informačního systému ve vyžadovaných bezpečnostních úrovních informačního systému a jeho jednotlivých komponent, pokud pro ně byly stanoveny bezpečnostní úrovně samostatně.</w:t>
      </w:r>
    </w:p>
    <w:p w14:paraId="77D65F6E" w14:textId="77777777" w:rsidR="00015C9C" w:rsidRPr="00C80226" w:rsidRDefault="00015C9C" w:rsidP="00C80226">
      <w:pPr>
        <w:pStyle w:val="Zkladntext"/>
        <w:jc w:val="both"/>
        <w:rPr>
          <w:rFonts w:cs="Arial"/>
        </w:rPr>
      </w:pPr>
      <w:r w:rsidRPr="00C80226">
        <w:rPr>
          <w:rFonts w:cs="Arial"/>
        </w:rPr>
        <w:t>(3) Orgán veřejné správy po zahájení poskytování služeb informačního systému a po obdržení podkladů umožňujících vyhodnocení celkových nákladů na vlastnictví provádí vyhodnocení celkových nákladů na vlastnictví.</w:t>
      </w:r>
    </w:p>
    <w:p w14:paraId="7617FE09" w14:textId="77777777" w:rsidR="00015C9C" w:rsidRPr="00C80226" w:rsidRDefault="00015C9C" w:rsidP="00C80226">
      <w:pPr>
        <w:pStyle w:val="Zkladntext"/>
        <w:jc w:val="both"/>
        <w:rPr>
          <w:rFonts w:cs="Arial"/>
        </w:rPr>
      </w:pPr>
      <w:r w:rsidRPr="00C80226">
        <w:rPr>
          <w:rFonts w:cs="Arial"/>
        </w:rPr>
        <w:t>(4) Orgán veřejné správy po skončení účetního období provádí vyhodnocení celkových nákladů na vlastnictví informačního systému.</w:t>
      </w:r>
    </w:p>
    <w:p w14:paraId="1179A1DF" w14:textId="77777777" w:rsidR="00015C9C" w:rsidRPr="00C80226" w:rsidRDefault="00015C9C" w:rsidP="00C80226">
      <w:pPr>
        <w:pStyle w:val="Zkladntext"/>
        <w:jc w:val="both"/>
        <w:rPr>
          <w:rFonts w:cs="Arial"/>
        </w:rPr>
      </w:pPr>
      <w:r w:rsidRPr="00C80226">
        <w:rPr>
          <w:rFonts w:cs="Arial"/>
        </w:rPr>
        <w:t>(5) Orgán veřejné správy provádí pravidelné vyhodnocení celkových nákladů na vlastnictví u nově vytvořeného nebo technicky zhodnoceného informačního systému pouze tehdy, pokud od zahájení poskytování služeb informačního systému a koncem aktuálního účetního období uplynulo více než šest měsíců.</w:t>
      </w:r>
    </w:p>
    <w:p w14:paraId="501EE8D1" w14:textId="77777777" w:rsidR="00015C9C" w:rsidRDefault="00015C9C" w:rsidP="00C80226">
      <w:pPr>
        <w:pStyle w:val="Zkladntext"/>
        <w:jc w:val="both"/>
        <w:rPr>
          <w:rFonts w:cs="Arial"/>
          <w:b/>
        </w:rPr>
      </w:pPr>
      <w:r w:rsidRPr="00C80226">
        <w:rPr>
          <w:rFonts w:cs="Arial"/>
          <w:b/>
        </w:rPr>
        <w:t xml:space="preserve">§ 33 </w:t>
      </w:r>
    </w:p>
    <w:p w14:paraId="0243B292" w14:textId="3EB8BC5C" w:rsidR="00015C9C" w:rsidRPr="00C80226" w:rsidRDefault="00015C9C" w:rsidP="00C80226">
      <w:pPr>
        <w:pStyle w:val="Zkladntext"/>
        <w:jc w:val="both"/>
        <w:rPr>
          <w:rFonts w:cs="Arial"/>
          <w:b/>
        </w:rPr>
      </w:pPr>
      <w:r w:rsidRPr="00C80226">
        <w:rPr>
          <w:rFonts w:cs="Arial"/>
          <w:b/>
        </w:rPr>
        <w:t>Hodnocení ekonomické výhodnosti provozu a způsobu provozu informačních systémů</w:t>
      </w:r>
    </w:p>
    <w:p w14:paraId="7A26343F" w14:textId="77777777" w:rsidR="00015C9C" w:rsidRPr="00C80226" w:rsidRDefault="00015C9C" w:rsidP="00C80226">
      <w:pPr>
        <w:pStyle w:val="Zkladntext"/>
        <w:jc w:val="both"/>
        <w:rPr>
          <w:rFonts w:cs="Arial"/>
        </w:rPr>
      </w:pPr>
      <w:r w:rsidRPr="00C80226">
        <w:rPr>
          <w:rFonts w:cs="Arial"/>
        </w:rPr>
        <w:t>(1) Orgán veřejné správy provádí hodnocení ekonomické výhodnosti provozu a způsobu provozu informačních systémů a využití cloud computingu ve všech fázích jejich životního cyklu.</w:t>
      </w:r>
    </w:p>
    <w:p w14:paraId="26AF5159" w14:textId="77777777" w:rsidR="00015C9C" w:rsidRPr="00C80226" w:rsidRDefault="00015C9C" w:rsidP="00C80226">
      <w:pPr>
        <w:pStyle w:val="Zkladntext"/>
        <w:jc w:val="both"/>
        <w:rPr>
          <w:rFonts w:cs="Arial"/>
        </w:rPr>
      </w:pPr>
      <w:r w:rsidRPr="00C80226">
        <w:rPr>
          <w:rFonts w:cs="Arial"/>
        </w:rPr>
        <w:t>(2) Orgán veřejné správy při hodnocení ekonomické výhodnosti provozu, způsobu provozu informačních systémů a využití cloud computingu zohlední dostupnost svých vlastních personálních kapacit a prioritu jejich využití za účelem minimalizace závislosti na dodavatelích.</w:t>
      </w:r>
    </w:p>
    <w:p w14:paraId="2ED0827F" w14:textId="77777777" w:rsidR="00015C9C" w:rsidRPr="00C80226" w:rsidRDefault="00015C9C" w:rsidP="00C80226">
      <w:pPr>
        <w:pStyle w:val="Zkladntext"/>
        <w:jc w:val="both"/>
        <w:rPr>
          <w:rFonts w:cs="Arial"/>
        </w:rPr>
      </w:pPr>
      <w:r w:rsidRPr="00C80226">
        <w:rPr>
          <w:rFonts w:cs="Arial"/>
        </w:rPr>
        <w:t>(3) Orgán veřejné správy při řízení životního cyklu informačního systému využívá rovněž ukazatele ekonomické výhodnosti provozu a způsobu provozu srovnatelných informačních systémů, sdílených prvků technologické a komunikační infrastruktury a služeb, o jejichž konkrétních technických parametrech, dostupnosti a prokazatelně dosažitelném tržním ocenění a podmínkách jejich dodávky jsou informace veřejně dostupné prostřednictvím dálkového přístupu.</w:t>
      </w:r>
    </w:p>
    <w:p w14:paraId="102B20B3" w14:textId="77777777" w:rsidR="00015C9C" w:rsidRPr="00C80226" w:rsidRDefault="00015C9C" w:rsidP="00C80226">
      <w:pPr>
        <w:pStyle w:val="Zkladntext"/>
        <w:jc w:val="both"/>
        <w:rPr>
          <w:rFonts w:cs="Arial"/>
        </w:rPr>
      </w:pPr>
      <w:r w:rsidRPr="00C80226">
        <w:rPr>
          <w:rFonts w:cs="Arial"/>
        </w:rPr>
        <w:t>(4) Orgán veřejné správy při provádění hodnocení ekonomické výhodnosti způsobu provozu informačních systémů porovnává variantu provozu informačního systému s použitím vlastní nebo zprostředkované infrastruktury. Orgán veřejné správy pro variantu odpovídající současnému způsobu provozu využívá ukazatele hospodárnosti, efektivnosti a účelnosti jím spravovaných informačních systémů a pro jiné varianty využívá kvalifikovaný odhad ukazatelů účelnosti, hospodárnosti a efektivnosti jím spravovaných informačních systémů na základě hodnocení celkových nákladů na vlastnictví informačního systému.</w:t>
      </w:r>
    </w:p>
    <w:p w14:paraId="61922F58" w14:textId="77777777" w:rsidR="00015C9C" w:rsidRPr="00C80226" w:rsidRDefault="00015C9C" w:rsidP="00C80226">
      <w:pPr>
        <w:pStyle w:val="Zkladntext"/>
        <w:jc w:val="both"/>
        <w:rPr>
          <w:rFonts w:cs="Arial"/>
        </w:rPr>
      </w:pPr>
      <w:r w:rsidRPr="00C80226">
        <w:rPr>
          <w:rFonts w:cs="Arial"/>
        </w:rPr>
        <w:t>(5) Orgán veřejné správy v případě významného rozdílu ve výhodnosti způsobu provozování informačního systému se zahrnutím nákladů na změnu způsobu provozu rozhodne o změně způsobu provozování informačního systému nebo jeho komponent a tuto změnu realizuje.</w:t>
      </w:r>
    </w:p>
    <w:p w14:paraId="402F2546" w14:textId="77777777" w:rsidR="00015C9C" w:rsidRPr="00C80226" w:rsidRDefault="00015C9C" w:rsidP="00C80226">
      <w:pPr>
        <w:pStyle w:val="Zkladntext"/>
        <w:jc w:val="both"/>
        <w:rPr>
          <w:rFonts w:cs="Arial"/>
        </w:rPr>
      </w:pPr>
      <w:r w:rsidRPr="00C80226">
        <w:rPr>
          <w:rFonts w:cs="Arial"/>
        </w:rPr>
        <w:t>(6) Orgán veřejné správy ukončuje provoz informačního systému nebo informační systém nahrazuje jiným informačním systémem, dospěl-li na základě hodnocení ekonomické výhodnosti provozu informačního systému k závěru, že je další užití informačního systému nevýhodné i v případě jeho významné inovace.</w:t>
      </w:r>
    </w:p>
    <w:p w14:paraId="6BB5D441" w14:textId="77777777" w:rsidR="00015C9C" w:rsidRPr="00C80226" w:rsidRDefault="00015C9C" w:rsidP="00C80226">
      <w:pPr>
        <w:pStyle w:val="Zkladntext"/>
        <w:jc w:val="both"/>
        <w:rPr>
          <w:rFonts w:cs="Arial"/>
          <w:b/>
        </w:rPr>
      </w:pPr>
      <w:r w:rsidRPr="00C80226">
        <w:rPr>
          <w:rFonts w:cs="Arial"/>
          <w:b/>
        </w:rPr>
        <w:t>§ 34</w:t>
      </w:r>
    </w:p>
    <w:p w14:paraId="399CBC0C" w14:textId="77777777" w:rsidR="00015C9C" w:rsidRPr="00C80226" w:rsidRDefault="00015C9C" w:rsidP="00C80226">
      <w:pPr>
        <w:pStyle w:val="Zkladntext"/>
        <w:jc w:val="both"/>
        <w:rPr>
          <w:rFonts w:cs="Arial"/>
        </w:rPr>
      </w:pPr>
      <w:r w:rsidRPr="00C80226">
        <w:rPr>
          <w:rFonts w:cs="Arial"/>
          <w:b/>
        </w:rPr>
        <w:t>Předběžné posouzení využití poptávaného cloud computingu</w:t>
      </w:r>
    </w:p>
    <w:p w14:paraId="4CE6EAB5" w14:textId="77777777" w:rsidR="00015C9C" w:rsidRPr="00C80226" w:rsidRDefault="00015C9C" w:rsidP="00C80226">
      <w:pPr>
        <w:pStyle w:val="Zkladntext"/>
        <w:jc w:val="both"/>
        <w:rPr>
          <w:rFonts w:cs="Arial"/>
        </w:rPr>
      </w:pPr>
      <w:r w:rsidRPr="00C80226">
        <w:rPr>
          <w:rFonts w:cs="Arial"/>
        </w:rPr>
        <w:t>Orgán veřejné správy provádí předběžné posouzení plánovaných celkových nákladů na vlastnictví ve fázi plánování a přípravy vytvoření a rozvoje informačního sytému s využitím relevantních nabídek cloud computingu uvedených v katalogu cloud computingu. Je-li varianta s využitím nabídek cloud computingu prokazatelně výhodnější, využije orgán veřejné moci tuto variantu.</w:t>
      </w:r>
    </w:p>
    <w:p w14:paraId="0CEB9CD4" w14:textId="77777777" w:rsidR="00015C9C" w:rsidRPr="009479F2" w:rsidRDefault="00015C9C" w:rsidP="00C80226">
      <w:pPr>
        <w:pStyle w:val="Zkladntext"/>
      </w:pPr>
    </w:p>
    <w:p w14:paraId="4D008B51" w14:textId="60FC83A3" w:rsidR="006C162E" w:rsidRPr="004E2B72" w:rsidRDefault="006C162E" w:rsidP="003B36B1">
      <w:pPr>
        <w:tabs>
          <w:tab w:val="clear" w:pos="284"/>
          <w:tab w:val="clear" w:pos="567"/>
          <w:tab w:val="clear" w:pos="851"/>
          <w:tab w:val="clear" w:pos="1134"/>
          <w:tab w:val="clear" w:pos="1418"/>
          <w:tab w:val="clear" w:pos="9072"/>
        </w:tabs>
        <w:spacing w:after="0"/>
        <w:jc w:val="both"/>
        <w:rPr>
          <w:rFonts w:cs="Arial"/>
        </w:rPr>
      </w:pPr>
    </w:p>
    <w:sectPr w:rsidR="006C162E" w:rsidRPr="004E2B72" w:rsidSect="004E2B72">
      <w:headerReference w:type="default" r:id="rId20"/>
      <w:footerReference w:type="default" r:id="rId21"/>
      <w:pgSz w:w="11906" w:h="16838" w:code="9"/>
      <w:pgMar w:top="1418" w:right="1134" w:bottom="1418" w:left="1134" w:header="709" w:footer="709" w:gutter="567"/>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Pavel Hrabě" w:date="2022-09-25T19:50:00Z" w:initials="PH">
    <w:p w14:paraId="780E8B9E" w14:textId="3AE28690" w:rsidR="007C6D77" w:rsidRPr="00FA183E" w:rsidRDefault="007C6D77" w:rsidP="00FA183E">
      <w:pPr>
        <w:pStyle w:val="Textkomente"/>
      </w:pPr>
      <w:r>
        <w:rPr>
          <w:rStyle w:val="Odkaznakoment"/>
        </w:rPr>
        <w:annotationRef/>
      </w:r>
      <w:r w:rsidRPr="00FA183E">
        <w:t>Pojem „komponenta“ by se mohl plést, i když se zde jedná o komponentu nákladovou.</w:t>
      </w:r>
    </w:p>
    <w:p w14:paraId="610F21F6" w14:textId="385B280F" w:rsidR="007C6D77" w:rsidRPr="00FA183E" w:rsidRDefault="007C6D77" w:rsidP="00FA183E">
      <w:pPr>
        <w:pStyle w:val="Textkomente"/>
      </w:pPr>
      <w:r w:rsidRPr="00FA183E">
        <w:t>Myslím, že originálním metodikám nebude vadit, pokud si to zde přejmenujeme na „nákladovou položku“.</w:t>
      </w:r>
    </w:p>
    <w:p w14:paraId="1189B055" w14:textId="11CCC859" w:rsidR="007C6D77" w:rsidRDefault="007C6D77">
      <w:pPr>
        <w:pStyle w:val="Textkomente"/>
      </w:pPr>
      <w:r>
        <w:t>Ke zvážení a konzultaci s MF.</w:t>
      </w:r>
    </w:p>
  </w:comment>
  <w:comment w:id="24" w:author="Pavel Hrabě" w:date="2022-12-01T11:01:00Z" w:initials="PH">
    <w:p w14:paraId="2039E14C" w14:textId="283BA79B" w:rsidR="007C6D77" w:rsidRDefault="007C6D77">
      <w:pPr>
        <w:pStyle w:val="Textkomente"/>
      </w:pPr>
      <w:r>
        <w:rPr>
          <w:rStyle w:val="Odkaznakoment"/>
        </w:rPr>
        <w:annotationRef/>
      </w:r>
      <w:r>
        <w:t>Možná bude odstraněno.</w:t>
      </w:r>
    </w:p>
  </w:comment>
  <w:comment w:id="51" w:author="Pavel Hrabě" w:date="2022-12-01T11:08:00Z" w:initials="PH">
    <w:p w14:paraId="733756E2" w14:textId="6AC69DF1" w:rsidR="007C6D77" w:rsidRDefault="007C6D77">
      <w:pPr>
        <w:pStyle w:val="Textkomente"/>
      </w:pPr>
      <w:r>
        <w:rPr>
          <w:rStyle w:val="Odkaznakoment"/>
        </w:rPr>
        <w:annotationRef/>
      </w:r>
      <w:r w:rsidRPr="00CC41FD">
        <w:t>Tento způsob užití tu nakonec možná nebude, protože to vlastně TCO není, pouze jeho součást.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89B055" w15:done="0"/>
  <w15:commentEx w15:paraId="2039E14C" w15:done="0"/>
  <w15:commentEx w15:paraId="73375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14FF8" w16cex:dateUtc="2022-10-24T15:55:00Z"/>
  <w16cex:commentExtensible w16cex:durableId="27014F6F" w16cex:dateUtc="2022-10-24T15:52:00Z"/>
  <w16cex:commentExtensible w16cex:durableId="270150D0" w16cex:dateUtc="2022-10-24T15:58:00Z"/>
  <w16cex:commentExtensible w16cex:durableId="270151A4" w16cex:dateUtc="2022-10-24T16:02:00Z"/>
  <w16cex:commentExtensible w16cex:durableId="27137C2E" w16cex:dateUtc="2022-11-07T11:44:00Z"/>
  <w16cex:commentExtensible w16cex:durableId="27015213" w16cex:dateUtc="2022-10-24T16:04:00Z"/>
  <w16cex:commentExtensible w16cex:durableId="27025557" w16cex:dateUtc="2022-10-25T10:30:00Z"/>
  <w16cex:commentExtensible w16cex:durableId="27015265" w16cex:dateUtc="2022-10-24T16:05:00Z"/>
  <w16cex:commentExtensible w16cex:durableId="27025361" w16cex:dateUtc="2022-10-25T10:21:00Z"/>
  <w16cex:commentExtensible w16cex:durableId="27025381" w16cex:dateUtc="2022-10-25T10:22:00Z"/>
  <w16cex:commentExtensible w16cex:durableId="27137D83" w16cex:dateUtc="2022-11-07T11:50:00Z"/>
  <w16cex:commentExtensible w16cex:durableId="2701705A" w16cex:dateUtc="2022-10-24T18:13:00Z"/>
  <w16cex:commentExtensible w16cex:durableId="27025636" w16cex:dateUtc="2022-10-25T10:33:00Z"/>
  <w16cex:commentExtensible w16cex:durableId="2713823B" w16cex:dateUtc="2022-11-07T12:10:00Z"/>
  <w16cex:commentExtensible w16cex:durableId="26E91A2E" w16cex:dateUtc="2022-10-06T07:11:00Z"/>
  <w16cex:commentExtensible w16cex:durableId="270172B7" w16cex:dateUtc="2022-10-24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542B2" w16cid:durableId="27137AE4"/>
  <w16cid:commentId w16cid:paraId="71C25EDB" w16cid:durableId="27137AE5"/>
  <w16cid:commentId w16cid:paraId="6E32760E" w16cid:durableId="27014FF8"/>
  <w16cid:commentId w16cid:paraId="0D2C3709" w16cid:durableId="27137AE7"/>
  <w16cid:commentId w16cid:paraId="3B07A21B" w16cid:durableId="27137AE8"/>
  <w16cid:commentId w16cid:paraId="7AD865AB" w16cid:durableId="27137AE9"/>
  <w16cid:commentId w16cid:paraId="26D3C892" w16cid:durableId="27014F6F"/>
  <w16cid:commentId w16cid:paraId="5117C85C" w16cid:durableId="27137AEB"/>
  <w16cid:commentId w16cid:paraId="6D6ABE12" w16cid:durableId="270150D0"/>
  <w16cid:commentId w16cid:paraId="6E81D296" w16cid:durableId="270151A4"/>
  <w16cid:commentId w16cid:paraId="12701BFE" w16cid:durableId="27137AEE"/>
  <w16cid:commentId w16cid:paraId="0891A2D9" w16cid:durableId="27137C2E"/>
  <w16cid:commentId w16cid:paraId="6C61058B" w16cid:durableId="27015213"/>
  <w16cid:commentId w16cid:paraId="1189B055" w16cid:durableId="26E6DE5F"/>
  <w16cid:commentId w16cid:paraId="11AD67D5" w16cid:durableId="27137AF1"/>
  <w16cid:commentId w16cid:paraId="08D1FD56" w16cid:durableId="27025557"/>
  <w16cid:commentId w16cid:paraId="7ECBA8CF" w16cid:durableId="27015265"/>
  <w16cid:commentId w16cid:paraId="78457BA4" w16cid:durableId="27025361"/>
  <w16cid:commentId w16cid:paraId="501D0CCC" w16cid:durableId="27025381"/>
  <w16cid:commentId w16cid:paraId="0C23BC37" w16cid:durableId="26E6DE61"/>
  <w16cid:commentId w16cid:paraId="024A1E7D" w16cid:durableId="26E6DE62"/>
  <w16cid:commentId w16cid:paraId="6F8AC948" w16cid:durableId="26E6DE63"/>
  <w16cid:commentId w16cid:paraId="6FB986CE" w16cid:durableId="27137D83"/>
  <w16cid:commentId w16cid:paraId="2555A379" w16cid:durableId="2701705A"/>
  <w16cid:commentId w16cid:paraId="6261F07D" w16cid:durableId="27137AFA"/>
  <w16cid:commentId w16cid:paraId="360F285D" w16cid:durableId="2701470C"/>
  <w16cid:commentId w16cid:paraId="65E046E7" w16cid:durableId="26E6DE64"/>
  <w16cid:commentId w16cid:paraId="44EF77D0" w16cid:durableId="2701470F"/>
  <w16cid:commentId w16cid:paraId="15975696" w16cid:durableId="26E6DE65"/>
  <w16cid:commentId w16cid:paraId="77DE6157" w16cid:durableId="27025636"/>
  <w16cid:commentId w16cid:paraId="74F6DAF1" w16cid:durableId="2713823B"/>
  <w16cid:commentId w16cid:paraId="794DBA4B" w16cid:durableId="26E91A2E"/>
  <w16cid:commentId w16cid:paraId="70601816" w16cid:durableId="270172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9E845" w14:textId="77777777" w:rsidR="00DE73D7" w:rsidRDefault="00DE73D7" w:rsidP="00783650">
      <w:r>
        <w:separator/>
      </w:r>
    </w:p>
  </w:endnote>
  <w:endnote w:type="continuationSeparator" w:id="0">
    <w:p w14:paraId="6EC89AB3" w14:textId="77777777" w:rsidR="00DE73D7" w:rsidRDefault="00DE73D7" w:rsidP="00783650">
      <w:r>
        <w:continuationSeparator/>
      </w:r>
    </w:p>
  </w:endnote>
  <w:endnote w:type="continuationNotice" w:id="1">
    <w:p w14:paraId="5838720C" w14:textId="77777777" w:rsidR="00DE73D7" w:rsidRDefault="00DE73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8628F" w14:textId="6A57EB03" w:rsidR="007C6D77" w:rsidRPr="00DB71B8" w:rsidRDefault="007C6D77" w:rsidP="00783650">
    <w:pPr>
      <w:pStyle w:val="Zpat"/>
    </w:pPr>
    <w:r>
      <w:rPr>
        <w:i/>
        <w:noProof/>
      </w:rPr>
      <mc:AlternateContent>
        <mc:Choice Requires="wps">
          <w:drawing>
            <wp:anchor distT="0" distB="0" distL="114300" distR="114300" simplePos="0" relativeHeight="251658241" behindDoc="0" locked="0" layoutInCell="0" allowOverlap="1" wp14:anchorId="1CADD8A6" wp14:editId="3B2A1093">
              <wp:simplePos x="0" y="0"/>
              <wp:positionH relativeFrom="column">
                <wp:posOffset>2540</wp:posOffset>
              </wp:positionH>
              <wp:positionV relativeFrom="paragraph">
                <wp:posOffset>-8255</wp:posOffset>
              </wp:positionV>
              <wp:extent cx="5771515" cy="635"/>
              <wp:effectExtent l="0" t="0" r="19685" b="374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635"/>
                      </a:xfrm>
                      <a:prstGeom prst="line">
                        <a:avLst/>
                      </a:prstGeom>
                      <a:noFill/>
                      <a:ln w="12700">
                        <a:solidFill>
                          <a:srgbClr val="0D0D0D"/>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B53DB" id="Line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5pt" to="45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" o:allowincell="f" strokecolor="#0d0d0d" strokeweight="1pt">
              <v:stroke startarrowwidth="narrow" startarrowlength="short" endarrowwidth="narrow" endarrowlength="short"/>
            </v:line>
          </w:pict>
        </mc:Fallback>
      </mc:AlternateContent>
    </w:r>
    <w:r>
      <w:rPr>
        <w:i/>
      </w:rPr>
      <w:t>Dokument „Me</w:t>
    </w:r>
    <w:r w:rsidRPr="007D3909">
      <w:rPr>
        <w:i/>
      </w:rPr>
      <w:t>todika výpočtu TCO ICT služeb VS</w:t>
    </w:r>
    <w:r>
      <w:rPr>
        <w:i/>
      </w:rPr>
      <w:t xml:space="preserve"> v3.8“ z 1. 10. 2022</w:t>
    </w:r>
    <w:r w:rsidRPr="007D3909">
      <w:rPr>
        <w:i/>
      </w:rPr>
      <w:t xml:space="preserve"> </w:t>
    </w:r>
    <w:r>
      <w:rPr>
        <w:i/>
      </w:rPr>
      <w:tab/>
    </w:r>
    <w:r w:rsidRPr="00DB71B8">
      <w:rPr>
        <w:i/>
      </w:rPr>
      <w:t xml:space="preserve">strana </w:t>
    </w:r>
    <w:r w:rsidRPr="00DB71B8">
      <w:rPr>
        <w:i/>
      </w:rPr>
      <w:fldChar w:fldCharType="begin"/>
    </w:r>
    <w:r w:rsidRPr="00DB71B8">
      <w:rPr>
        <w:i/>
      </w:rPr>
      <w:instrText xml:space="preserve"> PAGE </w:instrText>
    </w:r>
    <w:r w:rsidRPr="00DB71B8">
      <w:rPr>
        <w:i/>
      </w:rPr>
      <w:fldChar w:fldCharType="separate"/>
    </w:r>
    <w:r w:rsidR="00DE73D7">
      <w:rPr>
        <w:i/>
        <w:noProof/>
      </w:rPr>
      <w:t>1</w:t>
    </w:r>
    <w:r w:rsidRPr="00DB71B8">
      <w:rPr>
        <w:i/>
      </w:rPr>
      <w:fldChar w:fldCharType="end"/>
    </w:r>
    <w:r w:rsidRPr="00DB71B8">
      <w:rPr>
        <w:i/>
      </w:rPr>
      <w:t xml:space="preserve"> ( z </w:t>
    </w:r>
    <w:r w:rsidR="00DE73D7">
      <w:fldChar w:fldCharType="begin"/>
    </w:r>
    <w:r w:rsidR="00DE73D7">
      <w:instrText xml:space="preserve"> SECTIONPAGES  \* MERGEFORMAT </w:instrText>
    </w:r>
    <w:r w:rsidR="00DE73D7">
      <w:fldChar w:fldCharType="separate"/>
    </w:r>
    <w:r w:rsidR="00DE73D7">
      <w:rPr>
        <w:noProof/>
      </w:rPr>
      <w:t>1</w:t>
    </w:r>
    <w:r w:rsidR="00DE73D7">
      <w:rPr>
        <w:noProof/>
      </w:rPr>
      <w:fldChar w:fldCharType="end"/>
    </w:r>
    <w:r w:rsidRPr="00DB71B8">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8A7AE" w14:textId="77777777" w:rsidR="00DE73D7" w:rsidRDefault="00DE73D7" w:rsidP="00783650">
      <w:r>
        <w:separator/>
      </w:r>
    </w:p>
  </w:footnote>
  <w:footnote w:type="continuationSeparator" w:id="0">
    <w:p w14:paraId="5B1E0BEA" w14:textId="77777777" w:rsidR="00DE73D7" w:rsidRDefault="00DE73D7" w:rsidP="00783650">
      <w:r>
        <w:continuationSeparator/>
      </w:r>
    </w:p>
  </w:footnote>
  <w:footnote w:type="continuationNotice" w:id="1">
    <w:p w14:paraId="0554C387" w14:textId="77777777" w:rsidR="00DE73D7" w:rsidRDefault="00DE73D7">
      <w:pPr>
        <w:spacing w:after="0"/>
      </w:pPr>
    </w:p>
  </w:footnote>
  <w:footnote w:id="2">
    <w:p w14:paraId="2C050054" w14:textId="18E7C230" w:rsidR="007C6D77" w:rsidRDefault="007C6D77">
      <w:pPr>
        <w:pStyle w:val="Textpoznpodarou"/>
      </w:pPr>
      <w:r>
        <w:rPr>
          <w:rStyle w:val="Znakapoznpodarou"/>
        </w:rPr>
        <w:footnoteRef/>
      </w:r>
      <w:r>
        <w:t xml:space="preserve"> Z angl. Business Case.</w:t>
      </w:r>
    </w:p>
  </w:footnote>
  <w:footnote w:id="3">
    <w:p w14:paraId="13E69AA2" w14:textId="2011D196" w:rsidR="007C6D77" w:rsidRDefault="007C6D77">
      <w:pPr>
        <w:pStyle w:val="Textpoznpodarou"/>
      </w:pPr>
      <w:r>
        <w:rPr>
          <w:rStyle w:val="Znakapoznpodarou"/>
        </w:rPr>
        <w:footnoteRef/>
      </w:r>
      <w:r>
        <w:t xml:space="preserve"> Z angl. Cost-Benefit Analysis</w:t>
      </w:r>
    </w:p>
  </w:footnote>
  <w:footnote w:id="4">
    <w:p w14:paraId="34B8ADF9" w14:textId="1FDA8160" w:rsidR="007C6D77" w:rsidRDefault="007C6D77">
      <w:pPr>
        <w:pStyle w:val="Textpoznpodarou"/>
      </w:pPr>
      <w:r>
        <w:rPr>
          <w:rStyle w:val="Znakapoznpodarou"/>
        </w:rPr>
        <w:footnoteRef/>
      </w:r>
      <w:r>
        <w:t xml:space="preserve"> Z angl. Public Return-On-Investment - návratnost investice ve veřejné správě, například viz: </w:t>
      </w:r>
      <w:r w:rsidRPr="00760979">
        <w:t>https://www.ctg.albany.edu/projects/proi/</w:t>
      </w:r>
      <w:r>
        <w:t>.</w:t>
      </w:r>
    </w:p>
  </w:footnote>
  <w:footnote w:id="5">
    <w:p w14:paraId="6FF8C706" w14:textId="039A21EE" w:rsidR="007C6D77" w:rsidRDefault="007C6D77" w:rsidP="0055039E">
      <w:pPr>
        <w:pStyle w:val="Textpoznpodarou"/>
      </w:pPr>
      <w:r>
        <w:rPr>
          <w:rStyle w:val="Znakapoznpodarou"/>
        </w:rPr>
        <w:footnoteRef/>
      </w:r>
      <w:r>
        <w:t xml:space="preserve"> </w:t>
      </w:r>
      <w:r w:rsidRPr="0055039E">
        <w:t xml:space="preserve">S využitím: </w:t>
      </w:r>
      <w:r w:rsidRPr="0055039E">
        <w:rPr>
          <w:i/>
          <w:iCs/>
        </w:rPr>
        <w:t xml:space="preserve">IMPLEMENTATION GUIDELINES FOR PERFORMANCE AUDITING, ISSAI 3000 – 3100, </w:t>
      </w:r>
      <w:r w:rsidRPr="0055039E">
        <w:t>INTOSAI, Kodaň, 2010</w:t>
      </w:r>
      <w:r>
        <w:t xml:space="preserve">. </w:t>
      </w:r>
    </w:p>
  </w:footnote>
  <w:footnote w:id="6">
    <w:p w14:paraId="712C2640" w14:textId="6C464629" w:rsidR="007C6D77" w:rsidRDefault="007C6D77">
      <w:pPr>
        <w:pStyle w:val="Textpoznpodarou"/>
      </w:pPr>
      <w:r>
        <w:rPr>
          <w:rStyle w:val="Znakapoznpodarou"/>
        </w:rPr>
        <w:footnoteRef/>
      </w:r>
      <w:r>
        <w:t xml:space="preserve"> </w:t>
      </w:r>
      <w:r w:rsidRPr="0055039E">
        <w:t xml:space="preserve">V ČR odchylně </w:t>
      </w:r>
      <w:r>
        <w:t xml:space="preserve">od INTOSAI </w:t>
      </w:r>
      <w:r w:rsidRPr="0055039E">
        <w:t>definováno v zák. 320/2001 Sb. O finanční kontrole…, § 2, písmeno m) až o)</w:t>
      </w:r>
      <w:r>
        <w:t xml:space="preserve">. </w:t>
      </w:r>
    </w:p>
  </w:footnote>
  <w:footnote w:id="7">
    <w:p w14:paraId="42F4F26C" w14:textId="1203232D" w:rsidR="007C6D77" w:rsidRDefault="007C6D77">
      <w:pPr>
        <w:pStyle w:val="Textpoznpodarou"/>
      </w:pPr>
      <w:r>
        <w:rPr>
          <w:rStyle w:val="Znakapoznpodarou"/>
        </w:rPr>
        <w:footnoteRef/>
      </w:r>
      <w:r>
        <w:t xml:space="preserve"> PI jako Performance Indicators a PPI jako Process Performance Indicators, další kategorie indikátorů výkonnosti vedle KPI</w:t>
      </w:r>
    </w:p>
  </w:footnote>
  <w:footnote w:id="8">
    <w:p w14:paraId="07619D8D" w14:textId="5A6BA730" w:rsidR="007C6D77" w:rsidRDefault="007C6D77">
      <w:pPr>
        <w:pStyle w:val="Textpoznpodarou"/>
      </w:pPr>
      <w:r>
        <w:rPr>
          <w:rStyle w:val="Znakapoznpodarou"/>
        </w:rPr>
        <w:footnoteRef/>
      </w:r>
      <w:r>
        <w:t xml:space="preserve"> </w:t>
      </w:r>
      <w:r w:rsidRPr="00BF6558">
        <w:rPr>
          <w:b/>
          <w:bCs/>
        </w:rPr>
        <w:t>PDCA</w:t>
      </w:r>
      <w:r w:rsidRPr="00BF6558">
        <w:t> (z anglického </w:t>
      </w:r>
      <w:r w:rsidRPr="00BF6558">
        <w:rPr>
          <w:i/>
          <w:iCs/>
        </w:rPr>
        <w:t>plan-do-check-act</w:t>
      </w:r>
      <w:r w:rsidRPr="00BF6558">
        <w:t> tedy </w:t>
      </w:r>
      <w:r w:rsidRPr="00BF6558">
        <w:rPr>
          <w:i/>
          <w:iCs/>
        </w:rPr>
        <w:t>naplánuj-proveď-ověř-jednej</w:t>
      </w:r>
      <w:r w:rsidRPr="00BF6558">
        <w:t>)</w:t>
      </w:r>
      <w:r>
        <w:t xml:space="preserve">, viz </w:t>
      </w:r>
      <w:r w:rsidRPr="00BF6558">
        <w:t>https://cs.wikipedia.org/wiki/PDCA</w:t>
      </w:r>
    </w:p>
  </w:footnote>
  <w:footnote w:id="9">
    <w:p w14:paraId="243FC88F" w14:textId="0D26B7FA" w:rsidR="007C6D77" w:rsidRDefault="007C6D77">
      <w:pPr>
        <w:pStyle w:val="Textpoznpodarou"/>
      </w:pPr>
      <w:r>
        <w:rPr>
          <w:rStyle w:val="Znakapoznpodarou"/>
        </w:rPr>
        <w:footnoteRef/>
      </w:r>
      <w:r>
        <w:t xml:space="preserve"> Metodika řízení produktových nákladů, zde uplatněná na ICT služby.</w:t>
      </w:r>
    </w:p>
  </w:footnote>
  <w:footnote w:id="10">
    <w:p w14:paraId="12DB0945" w14:textId="19A87141" w:rsidR="007C6D77" w:rsidRDefault="007C6D77">
      <w:pPr>
        <w:pStyle w:val="Textpoznpodarou"/>
      </w:pPr>
      <w:r>
        <w:rPr>
          <w:rStyle w:val="Znakapoznpodarou"/>
        </w:rPr>
        <w:footnoteRef/>
      </w:r>
      <w:r>
        <w:t xml:space="preserve"> J</w:t>
      </w:r>
      <w:r w:rsidRPr="003617C2">
        <w:t>edná se o úbytky finančních prostředků (například zaplacení faktury). Jejich výsledkem je tedy snížení množství finančních prostředků na účtu nebo v pokladně.</w:t>
      </w:r>
    </w:p>
  </w:footnote>
  <w:footnote w:id="11">
    <w:p w14:paraId="15CAD41E" w14:textId="32D316E2" w:rsidR="007C6D77" w:rsidRDefault="007C6D77">
      <w:pPr>
        <w:pStyle w:val="Textpoznpodarou"/>
      </w:pPr>
      <w:r>
        <w:rPr>
          <w:rStyle w:val="Znakapoznpodarou"/>
        </w:rPr>
        <w:footnoteRef/>
      </w:r>
      <w:r>
        <w:t xml:space="preserve"> V</w:t>
      </w:r>
      <w:r w:rsidRPr="003617C2">
        <w:t>znikají spotřebou zdrojů, jsou to hmotné toky, které mají peněžní vyjádření. Náklady nutně nemusí znamenat úbytek finančních prostředků.</w:t>
      </w:r>
    </w:p>
  </w:footnote>
  <w:footnote w:id="12">
    <w:p w14:paraId="0A8A51F3" w14:textId="6F6B16D7" w:rsidR="007C6D77" w:rsidRDefault="007C6D77">
      <w:pPr>
        <w:pStyle w:val="Textpoznpodarou"/>
      </w:pPr>
      <w:r>
        <w:rPr>
          <w:rStyle w:val="Znakapoznpodarou"/>
        </w:rPr>
        <w:footnoteRef/>
      </w:r>
      <w:r>
        <w:t xml:space="preserve"> Viz ManagementMania: </w:t>
      </w:r>
      <w:r w:rsidRPr="003617C2">
        <w:t>https://managementmania.com/cs/rozdil-vydaje-naklady</w:t>
      </w:r>
    </w:p>
  </w:footnote>
  <w:footnote w:id="13">
    <w:p w14:paraId="7491C591" w14:textId="682D2E22" w:rsidR="007C6D77" w:rsidRDefault="007C6D77">
      <w:pPr>
        <w:pStyle w:val="Textpoznpodarou"/>
      </w:pPr>
      <w:r>
        <w:rPr>
          <w:rStyle w:val="Znakapoznpodarou"/>
        </w:rPr>
        <w:footnoteRef/>
      </w:r>
      <w:r>
        <w:t xml:space="preserve"> Typicky služba zaměstnanců jednoho oddělení jinému oddělení.</w:t>
      </w:r>
    </w:p>
  </w:footnote>
  <w:footnote w:id="14">
    <w:p w14:paraId="51319EE3" w14:textId="73250356" w:rsidR="007C6D77" w:rsidRDefault="007C6D77">
      <w:pPr>
        <w:pStyle w:val="Textpoznpodarou"/>
      </w:pPr>
      <w:r>
        <w:rPr>
          <w:rStyle w:val="Znakapoznpodarou"/>
        </w:rPr>
        <w:footnoteRef/>
      </w:r>
      <w:r>
        <w:t xml:space="preserve"> Vzhledem k relevanci zařazení s přihlédnutím k morální životnosti ICT řešení se toho přidržuje i tato metodika, přestože daňové odpisy nákladů nejsou u OVM relevantní (nepodléhá dani z příjmů).</w:t>
      </w:r>
    </w:p>
  </w:footnote>
  <w:footnote w:id="15">
    <w:p w14:paraId="47D90964" w14:textId="77777777" w:rsidR="007C6D77" w:rsidRDefault="007C6D77" w:rsidP="003617C2">
      <w:pPr>
        <w:pStyle w:val="Textpoznpodarou"/>
      </w:pPr>
      <w:r>
        <w:rPr>
          <w:rStyle w:val="Znakapoznpodarou"/>
        </w:rPr>
        <w:footnoteRef/>
      </w:r>
      <w:r>
        <w:t xml:space="preserve"> Angl. CAPEX – Capital Expeditures</w:t>
      </w:r>
    </w:p>
  </w:footnote>
  <w:footnote w:id="16">
    <w:p w14:paraId="6C4A0D87" w14:textId="77777777" w:rsidR="007C6D77" w:rsidRDefault="007C6D77" w:rsidP="003617C2">
      <w:pPr>
        <w:pStyle w:val="Textpoznpodarou"/>
      </w:pPr>
      <w:r>
        <w:rPr>
          <w:rStyle w:val="Znakapoznpodarou"/>
        </w:rPr>
        <w:footnoteRef/>
      </w:r>
      <w:r>
        <w:t xml:space="preserve"> Angl. OPEX – Operational Expenditures</w:t>
      </w:r>
    </w:p>
  </w:footnote>
  <w:footnote w:id="17">
    <w:p w14:paraId="79B28CBF" w14:textId="145BCD9F" w:rsidR="007C6D77" w:rsidRDefault="007C6D77" w:rsidP="004B56CF">
      <w:pPr>
        <w:pStyle w:val="Textpoznpodarou"/>
      </w:pPr>
      <w:r>
        <w:rPr>
          <w:rStyle w:val="Znakapoznpodarou"/>
        </w:rPr>
        <w:footnoteRef/>
      </w:r>
      <w:r>
        <w:t xml:space="preserve"> Z angl. Fully Loaded Costs of an employee time - </w:t>
      </w:r>
      <w:r w:rsidRPr="00B91C2E">
        <w:t>plné náklady pracovního času zaměstnance</w:t>
      </w:r>
      <w:r>
        <w:t>.</w:t>
      </w:r>
    </w:p>
  </w:footnote>
  <w:footnote w:id="18">
    <w:p w14:paraId="0C5C3411" w14:textId="26DE5630" w:rsidR="007C6D77" w:rsidRDefault="007C6D77">
      <w:pPr>
        <w:pStyle w:val="Textpoznpodarou"/>
      </w:pPr>
      <w:r>
        <w:rPr>
          <w:rStyle w:val="Znakapoznpodarou"/>
        </w:rPr>
        <w:footnoteRef/>
      </w:r>
      <w:r>
        <w:t xml:space="preserve"> viz P.Hujňák: </w:t>
      </w:r>
      <w:r w:rsidRPr="00164BE3">
        <w:t>http://www.itmforum.cz/rubriky/rizeni-a-zajistovani-ict-zdroju/nove-pohledy-na-uplne-naklady-vlastnictvi-it-v-soukromem-a-verejnem-sektoru/</w:t>
      </w:r>
    </w:p>
  </w:footnote>
  <w:footnote w:id="19">
    <w:p w14:paraId="2843530B" w14:textId="3F28C237" w:rsidR="007C6D77" w:rsidRDefault="007C6D77">
      <w:pPr>
        <w:pStyle w:val="Textpoznpodarou"/>
      </w:pPr>
      <w:r>
        <w:rPr>
          <w:rStyle w:val="Znakapoznpodarou"/>
        </w:rPr>
        <w:footnoteRef/>
      </w:r>
      <w:r>
        <w:t xml:space="preserve"> Systém řízení báze dat, </w:t>
      </w:r>
      <w:r w:rsidRPr="00D523ED">
        <w:t>anglicky Database Management System, DBMS</w:t>
      </w:r>
      <w:r>
        <w:t>,</w:t>
      </w:r>
      <w:r w:rsidRPr="00D523ED">
        <w:t xml:space="preserve"> je softwarové vybavení, které zajišťuje práci s databází</w:t>
      </w:r>
    </w:p>
  </w:footnote>
  <w:footnote w:id="20">
    <w:p w14:paraId="3EF8E414" w14:textId="78B4CCAF" w:rsidR="007C6D77" w:rsidRDefault="007C6D77">
      <w:pPr>
        <w:pStyle w:val="Textpoznpodarou"/>
      </w:pPr>
      <w:r>
        <w:rPr>
          <w:rStyle w:val="Znakapoznpodarou"/>
        </w:rPr>
        <w:footnoteRef/>
      </w:r>
      <w:r>
        <w:t xml:space="preserve"> vydaná MV ČR ve finální verzi 3.2, 13. 9. 2013 a dostupná například zde: </w:t>
      </w:r>
      <w:r w:rsidRPr="004E2F39">
        <w:t>www.mvcr.cz/soubor/prirucka-pma-pdf.aspx</w:t>
      </w:r>
    </w:p>
  </w:footnote>
  <w:footnote w:id="21">
    <w:p w14:paraId="67355799" w14:textId="537C05C1" w:rsidR="007C6D77" w:rsidRDefault="007C6D77">
      <w:pPr>
        <w:pStyle w:val="Textpoznpodarou"/>
      </w:pPr>
      <w:r>
        <w:rPr>
          <w:rStyle w:val="Znakapoznpodarou"/>
        </w:rPr>
        <w:footnoteRef/>
      </w:r>
      <w:r>
        <w:t xml:space="preserve"> Podle různého podílu mzdových nákladů na celkových nákladech organizace u různých typů OVM.</w:t>
      </w:r>
    </w:p>
  </w:footnote>
  <w:footnote w:id="22">
    <w:p w14:paraId="2C88FA72" w14:textId="57C8B9C7" w:rsidR="007C6D77" w:rsidRDefault="007C6D77">
      <w:pPr>
        <w:pStyle w:val="Textpoznpodarou"/>
      </w:pPr>
      <w:r>
        <w:rPr>
          <w:rStyle w:val="Znakapoznpodarou"/>
        </w:rPr>
        <w:footnoteRef/>
      </w:r>
      <w:r>
        <w:t xml:space="preserve"> Z angl. Forecast</w:t>
      </w:r>
    </w:p>
  </w:footnote>
  <w:footnote w:id="23">
    <w:p w14:paraId="0C5145C0" w14:textId="47E2647C" w:rsidR="007C6D77" w:rsidRDefault="007C6D77">
      <w:pPr>
        <w:pStyle w:val="Textpoznpodarou"/>
      </w:pPr>
      <w:r>
        <w:rPr>
          <w:rStyle w:val="Znakapoznpodarou"/>
        </w:rPr>
        <w:footnoteRef/>
      </w:r>
      <w:r>
        <w:t xml:space="preserve"> </w:t>
      </w:r>
    </w:p>
  </w:footnote>
  <w:footnote w:id="24">
    <w:p w14:paraId="006EE395" w14:textId="7EF29C44" w:rsidR="007C6D77" w:rsidRDefault="007C6D77" w:rsidP="00DC49EA">
      <w:pPr>
        <w:pStyle w:val="Textpoznpodarou"/>
      </w:pPr>
      <w:r>
        <w:rPr>
          <w:rStyle w:val="Znakapoznpodarou"/>
        </w:rPr>
        <w:footnoteRef/>
      </w:r>
      <w:r>
        <w:t xml:space="preserve"> Z angl. orig. Net Present Value, tedy vztažení budoucí hodnoty investice zpět do relace k nyní vynaloženým prostředkům pomocí diskontní sazby, reprezentující obvykle klesající hodnotu (cenu) peněz v důsledku inflace.</w:t>
      </w:r>
    </w:p>
  </w:footnote>
  <w:footnote w:id="25">
    <w:p w14:paraId="5B9A7FC5" w14:textId="0B70D748" w:rsidR="007C6D77" w:rsidRDefault="007C6D77">
      <w:pPr>
        <w:pStyle w:val="Textpoznpodarou"/>
      </w:pPr>
      <w:r>
        <w:rPr>
          <w:rStyle w:val="Znakapoznpodarou"/>
        </w:rPr>
        <w:footnoteRef/>
      </w:r>
      <w:r>
        <w:t xml:space="preserve"> Cena peněz na trhu, úroková míra centrální banky.</w:t>
      </w:r>
    </w:p>
  </w:footnote>
  <w:footnote w:id="26">
    <w:p w14:paraId="70CFAF95" w14:textId="6D03E6D7" w:rsidR="007C6D77" w:rsidRDefault="007C6D77">
      <w:pPr>
        <w:pStyle w:val="Textpoznpodarou"/>
      </w:pPr>
      <w:r>
        <w:rPr>
          <w:rStyle w:val="Znakapoznpodarou"/>
        </w:rPr>
        <w:footnoteRef/>
      </w:r>
      <w:r>
        <w:t xml:space="preserve"> Obecně provozní režie započítat do hodnocení variant, správní netřeba (jsou stejné)</w:t>
      </w:r>
    </w:p>
  </w:footnote>
  <w:footnote w:id="27">
    <w:p w14:paraId="1271A0DA" w14:textId="6DA758AF" w:rsidR="007C6D77" w:rsidRDefault="007C6D77">
      <w:pPr>
        <w:pStyle w:val="Textpoznpodarou"/>
      </w:pPr>
      <w:r>
        <w:rPr>
          <w:rStyle w:val="Znakapoznpodarou"/>
        </w:rPr>
        <w:footnoteRef/>
      </w:r>
      <w:r>
        <w:t xml:space="preserve"> </w:t>
      </w:r>
      <w:r w:rsidRPr="00A72841">
        <w:t>Například podle tabulky rozpočtové skladby ICT projektu dle NKÚ, kterou některé úřady pro takový účel používají.</w:t>
      </w:r>
    </w:p>
  </w:footnote>
  <w:footnote w:id="28">
    <w:p w14:paraId="54D3CA61" w14:textId="060A7740" w:rsidR="007C6D77" w:rsidRDefault="007C6D77">
      <w:pPr>
        <w:pStyle w:val="Textpoznpodarou"/>
      </w:pPr>
      <w:r>
        <w:rPr>
          <w:rStyle w:val="Znakapoznpodarou"/>
        </w:rPr>
        <w:footnoteRef/>
      </w:r>
      <w:r>
        <w:t xml:space="preserve"> Tj. takové náklady na ICT řešení, které nejsou současně výdajem ICT části rozpočtu, ale je třeba je rozpočtovat v jiných částech rozpočtu (personální, nemovitosti, služby, …).</w:t>
      </w:r>
    </w:p>
  </w:footnote>
  <w:footnote w:id="29">
    <w:p w14:paraId="58552967" w14:textId="32EC7CAD" w:rsidR="007C6D77" w:rsidRDefault="007C6D77">
      <w:pPr>
        <w:pStyle w:val="Textpoznpodarou"/>
      </w:pPr>
      <w:r>
        <w:rPr>
          <w:rStyle w:val="Znakapoznpodarou"/>
        </w:rPr>
        <w:footnoteRef/>
      </w:r>
      <w:r>
        <w:t xml:space="preserve"> například: </w:t>
      </w:r>
      <w:hyperlink r:id="rId1" w:history="1">
        <w:r w:rsidRPr="00006395">
          <w:rPr>
            <w:rStyle w:val="Hypertextovodkaz"/>
          </w:rPr>
          <w:t>https://archi.gov.cz/znalostni_baze:digitalni_prirucka</w:t>
        </w:r>
      </w:hyperlink>
      <w:r>
        <w:t xml:space="preserve"> </w:t>
      </w:r>
    </w:p>
  </w:footnote>
  <w:footnote w:id="30">
    <w:p w14:paraId="019F5989" w14:textId="77777777" w:rsidR="007C6D77" w:rsidRDefault="007C6D77" w:rsidP="007B79DA">
      <w:pPr>
        <w:pStyle w:val="Textpoznpodarou"/>
      </w:pPr>
      <w:r>
        <w:rPr>
          <w:rStyle w:val="Znakapoznpodarou"/>
        </w:rPr>
        <w:footnoteRef/>
      </w:r>
      <w:r>
        <w:t xml:space="preserve"> Není-li pokračováním vývojového, nebo nebude-li zahrnuto do provozního.</w:t>
      </w:r>
    </w:p>
  </w:footnote>
  <w:footnote w:id="31">
    <w:p w14:paraId="3397B6E0" w14:textId="658AA91C" w:rsidR="007C6D77" w:rsidRDefault="007C6D77">
      <w:pPr>
        <w:pStyle w:val="Textpoznpodarou"/>
      </w:pPr>
      <w:r>
        <w:rPr>
          <w:rStyle w:val="Znakapoznpodarou"/>
        </w:rPr>
        <w:footnoteRef/>
      </w:r>
      <w:r>
        <w:t xml:space="preserve"> Bude upřesňováno nejvýznamnější členění provozních bezpečnostních nákladů.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AAE2" w14:textId="08FA9694" w:rsidR="007C6D77" w:rsidRPr="004E2B72" w:rsidRDefault="007C6D77">
    <w:pPr>
      <w:pStyle w:val="Zhlav"/>
      <w:rPr>
        <w:rFonts w:cs="Arial"/>
        <w:i/>
      </w:rPr>
    </w:pPr>
    <w:r w:rsidRPr="004E2B72">
      <w:rPr>
        <w:rFonts w:cs="Arial"/>
        <w:i/>
        <w:noProof/>
      </w:rPr>
      <mc:AlternateContent>
        <mc:Choice Requires="wps">
          <w:drawing>
            <wp:anchor distT="0" distB="0" distL="114300" distR="114300" simplePos="0" relativeHeight="251658240" behindDoc="0" locked="0" layoutInCell="0" allowOverlap="1" wp14:anchorId="382FCBE5" wp14:editId="4420D188">
              <wp:simplePos x="0" y="0"/>
              <wp:positionH relativeFrom="column">
                <wp:posOffset>-16510</wp:posOffset>
              </wp:positionH>
              <wp:positionV relativeFrom="paragraph">
                <wp:posOffset>188595</wp:posOffset>
              </wp:positionV>
              <wp:extent cx="5771515" cy="635"/>
              <wp:effectExtent l="0" t="0" r="1968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635"/>
                      </a:xfrm>
                      <a:prstGeom prst="line">
                        <a:avLst/>
                      </a:prstGeom>
                      <a:noFill/>
                      <a:ln w="12700">
                        <a:solidFill>
                          <a:srgbClr val="0D0D0D"/>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C7AB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4.85pt" to="453.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" o:allowincell="f" strokecolor="#0d0d0d" strokeweight="1pt">
              <v:stroke startarrowwidth="narrow" startarrowlength="short" endarrowwidth="narrow" endarrowlength="short"/>
            </v:line>
          </w:pict>
        </mc:Fallback>
      </mc:AlternateContent>
    </w:r>
    <w:r w:rsidRPr="004E2B72">
      <w:rPr>
        <w:rFonts w:cs="Arial"/>
        <w:i/>
      </w:rPr>
      <w:t>Odbor hlavního architekta eGovernmentu, MV ČR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Nadpis1"/>
      <w:lvlText w:val="%1."/>
      <w:legacy w:legacy="1" w:legacySpace="0" w:legacyIndent="454"/>
      <w:lvlJc w:val="left"/>
      <w:pPr>
        <w:ind w:left="454" w:hanging="454"/>
      </w:pPr>
    </w:lvl>
    <w:lvl w:ilvl="1">
      <w:start w:val="1"/>
      <w:numFmt w:val="decimal"/>
      <w:pStyle w:val="Nadpis2"/>
      <w:lvlText w:val="%1.%2"/>
      <w:legacy w:legacy="1" w:legacySpace="113" w:legacyIndent="510"/>
      <w:lvlJc w:val="left"/>
      <w:pPr>
        <w:ind w:left="510" w:hanging="510"/>
      </w:pPr>
    </w:lvl>
    <w:lvl w:ilvl="2">
      <w:start w:val="1"/>
      <w:numFmt w:val="decimal"/>
      <w:pStyle w:val="Nadpis3"/>
      <w:lvlText w:val="%1.%2.%3"/>
      <w:legacy w:legacy="1" w:legacySpace="113" w:legacyIndent="680"/>
      <w:lvlJc w:val="left"/>
      <w:pPr>
        <w:ind w:left="680" w:hanging="680"/>
      </w:pPr>
    </w:lvl>
    <w:lvl w:ilvl="3">
      <w:start w:val="1"/>
      <w:numFmt w:val="none"/>
      <w:pStyle w:val="Nadpis4"/>
      <w:lvlText w:val=""/>
      <w:legacy w:legacy="1" w:legacySpace="0" w:legacyIndent="284"/>
      <w:lvlJc w:val="left"/>
      <w:pPr>
        <w:ind w:left="284" w:hanging="284"/>
      </w:pPr>
      <w:rPr>
        <w:rFonts w:ascii="Symbol" w:hAnsi="Symbol" w:hint="default"/>
      </w:rPr>
    </w:lvl>
    <w:lvl w:ilvl="4">
      <w:start w:val="1"/>
      <w:numFmt w:val="none"/>
      <w:pStyle w:val="Nadpis5"/>
      <w:lvlText w:val=""/>
      <w:legacy w:legacy="1" w:legacySpace="0" w:legacyIndent="284"/>
      <w:lvlJc w:val="left"/>
      <w:pPr>
        <w:ind w:left="568" w:hanging="284"/>
      </w:pPr>
      <w:rPr>
        <w:rFonts w:ascii="Symbol" w:hAnsi="Symbol" w:hint="default"/>
        <w:sz w:val="22"/>
      </w:rPr>
    </w:lvl>
    <w:lvl w:ilvl="5">
      <w:start w:val="1"/>
      <w:numFmt w:val="none"/>
      <w:pStyle w:val="Nadpis6"/>
      <w:lvlText w:val=""/>
      <w:legacy w:legacy="1" w:legacySpace="0" w:legacyIndent="284"/>
      <w:lvlJc w:val="left"/>
      <w:pPr>
        <w:ind w:left="851" w:hanging="284"/>
      </w:pPr>
      <w:rPr>
        <w:rFonts w:ascii="Symbol" w:hAnsi="Symbol" w:hint="default"/>
        <w:sz w:val="18"/>
      </w:rPr>
    </w:lvl>
    <w:lvl w:ilvl="6">
      <w:start w:val="1"/>
      <w:numFmt w:val="none"/>
      <w:pStyle w:val="Nadpis7"/>
      <w:lvlText w:val=""/>
      <w:legacy w:legacy="1" w:legacySpace="0" w:legacyIndent="284"/>
      <w:lvlJc w:val="left"/>
      <w:pPr>
        <w:ind w:left="284" w:hanging="284"/>
      </w:pPr>
      <w:rPr>
        <w:rFonts w:ascii="Symbol" w:hAnsi="Symbol" w:hint="default"/>
      </w:rPr>
    </w:lvl>
    <w:lvl w:ilvl="7">
      <w:start w:val="1"/>
      <w:numFmt w:val="none"/>
      <w:pStyle w:val="Nadpis8"/>
      <w:lvlText w:val=""/>
      <w:legacy w:legacy="1" w:legacySpace="113" w:legacyIndent="624"/>
      <w:lvlJc w:val="left"/>
      <w:pPr>
        <w:ind w:left="3404" w:hanging="624"/>
      </w:pPr>
      <w:rPr>
        <w:rFonts w:ascii="Symbol" w:hAnsi="Symbol" w:hint="default"/>
      </w:rPr>
    </w:lvl>
    <w:lvl w:ilvl="8">
      <w:start w:val="1"/>
      <w:numFmt w:val="none"/>
      <w:pStyle w:val="Nadpis9"/>
      <w:lvlText w:val=""/>
      <w:legacy w:legacy="1" w:legacySpace="113" w:legacyIndent="284"/>
      <w:lvlJc w:val="left"/>
      <w:pPr>
        <w:ind w:left="3688" w:hanging="284"/>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3" w15:restartNumberingAfterBreak="0">
    <w:nsid w:val="04F716CA"/>
    <w:multiLevelType w:val="hybridMultilevel"/>
    <w:tmpl w:val="12EEBB8A"/>
    <w:lvl w:ilvl="0" w:tplc="0405000F">
      <w:start w:val="1"/>
      <w:numFmt w:val="decimal"/>
      <w:lvlText w:val="%1."/>
      <w:lvlJc w:val="left"/>
      <w:pPr>
        <w:ind w:left="890" w:hanging="360"/>
      </w:pPr>
      <w:rPr>
        <w:rFonts w:hint="default"/>
      </w:rPr>
    </w:lvl>
    <w:lvl w:ilvl="1" w:tplc="04050003">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4" w15:restartNumberingAfterBreak="0">
    <w:nsid w:val="0ACC57EF"/>
    <w:multiLevelType w:val="hybridMultilevel"/>
    <w:tmpl w:val="709A5E0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0ADE09E1"/>
    <w:multiLevelType w:val="hybridMultilevel"/>
    <w:tmpl w:val="38A21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840987"/>
    <w:multiLevelType w:val="singleLevel"/>
    <w:tmpl w:val="F19C9F1A"/>
    <w:lvl w:ilvl="0">
      <w:start w:val="1"/>
      <w:numFmt w:val="lowerLetter"/>
      <w:pStyle w:val="odrakaa"/>
      <w:lvlText w:val="(%1)"/>
      <w:lvlJc w:val="left"/>
      <w:pPr>
        <w:tabs>
          <w:tab w:val="num" w:pos="360"/>
        </w:tabs>
        <w:ind w:left="360" w:hanging="360"/>
      </w:pPr>
    </w:lvl>
  </w:abstractNum>
  <w:abstractNum w:abstractNumId="7" w15:restartNumberingAfterBreak="0">
    <w:nsid w:val="0C0266DB"/>
    <w:multiLevelType w:val="multilevel"/>
    <w:tmpl w:val="3886BFD8"/>
    <w:styleLink w:val="Styl1"/>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8" w15:restartNumberingAfterBreak="0">
    <w:nsid w:val="0FB54808"/>
    <w:multiLevelType w:val="hybridMultilevel"/>
    <w:tmpl w:val="4F528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D70EB2"/>
    <w:multiLevelType w:val="hybridMultilevel"/>
    <w:tmpl w:val="FC42FC5E"/>
    <w:lvl w:ilvl="0" w:tplc="1744D3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0876DC"/>
    <w:multiLevelType w:val="hybridMultilevel"/>
    <w:tmpl w:val="302A2B3A"/>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16E86618"/>
    <w:multiLevelType w:val="hybridMultilevel"/>
    <w:tmpl w:val="D57A3A40"/>
    <w:lvl w:ilvl="0" w:tplc="D63C568C">
      <w:start w:val="10"/>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184C5C95"/>
    <w:multiLevelType w:val="hybridMultilevel"/>
    <w:tmpl w:val="8B745626"/>
    <w:lvl w:ilvl="0" w:tplc="D43EF180">
      <w:start w:val="10"/>
      <w:numFmt w:val="bullet"/>
      <w:lvlText w:val="-"/>
      <w:lvlJc w:val="left"/>
      <w:pPr>
        <w:ind w:left="930" w:hanging="360"/>
      </w:pPr>
      <w:rPr>
        <w:rFonts w:ascii="Times New Roman" w:eastAsia="Times New Roman" w:hAnsi="Times New Roman" w:cs="Times New Roman" w:hint="default"/>
      </w:rPr>
    </w:lvl>
    <w:lvl w:ilvl="1" w:tplc="04050001">
      <w:start w:val="1"/>
      <w:numFmt w:val="bullet"/>
      <w:lvlText w:val=""/>
      <w:lvlJc w:val="left"/>
      <w:pPr>
        <w:ind w:left="1650" w:hanging="360"/>
      </w:pPr>
      <w:rPr>
        <w:rFonts w:ascii="Symbol" w:hAnsi="Symbol"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13" w15:restartNumberingAfterBreak="0">
    <w:nsid w:val="195D45B3"/>
    <w:multiLevelType w:val="hybridMultilevel"/>
    <w:tmpl w:val="E8244FB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54496B"/>
    <w:multiLevelType w:val="hybridMultilevel"/>
    <w:tmpl w:val="8BE2D2AE"/>
    <w:lvl w:ilvl="0" w:tplc="1744D3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C650711"/>
    <w:multiLevelType w:val="hybridMultilevel"/>
    <w:tmpl w:val="A35EC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E9E5557"/>
    <w:multiLevelType w:val="hybridMultilevel"/>
    <w:tmpl w:val="516887A4"/>
    <w:lvl w:ilvl="0" w:tplc="55A4D98E">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C87F97"/>
    <w:multiLevelType w:val="hybridMultilevel"/>
    <w:tmpl w:val="270C821E"/>
    <w:lvl w:ilvl="0" w:tplc="04050001">
      <w:start w:val="1"/>
      <w:numFmt w:val="bullet"/>
      <w:lvlText w:val=""/>
      <w:lvlJc w:val="left"/>
      <w:pPr>
        <w:ind w:left="1650" w:hanging="360"/>
      </w:pPr>
      <w:rPr>
        <w:rFonts w:ascii="Symbol" w:hAnsi="Symbol" w:hint="default"/>
      </w:rPr>
    </w:lvl>
    <w:lvl w:ilvl="1" w:tplc="04050003" w:tentative="1">
      <w:start w:val="1"/>
      <w:numFmt w:val="bullet"/>
      <w:lvlText w:val="o"/>
      <w:lvlJc w:val="left"/>
      <w:pPr>
        <w:ind w:left="2370" w:hanging="360"/>
      </w:pPr>
      <w:rPr>
        <w:rFonts w:ascii="Courier New" w:hAnsi="Courier New" w:cs="Courier New" w:hint="default"/>
      </w:rPr>
    </w:lvl>
    <w:lvl w:ilvl="2" w:tplc="04050005" w:tentative="1">
      <w:start w:val="1"/>
      <w:numFmt w:val="bullet"/>
      <w:lvlText w:val=""/>
      <w:lvlJc w:val="left"/>
      <w:pPr>
        <w:ind w:left="3090" w:hanging="360"/>
      </w:pPr>
      <w:rPr>
        <w:rFonts w:ascii="Wingdings" w:hAnsi="Wingdings" w:hint="default"/>
      </w:rPr>
    </w:lvl>
    <w:lvl w:ilvl="3" w:tplc="04050001" w:tentative="1">
      <w:start w:val="1"/>
      <w:numFmt w:val="bullet"/>
      <w:lvlText w:val=""/>
      <w:lvlJc w:val="left"/>
      <w:pPr>
        <w:ind w:left="3810" w:hanging="360"/>
      </w:pPr>
      <w:rPr>
        <w:rFonts w:ascii="Symbol" w:hAnsi="Symbol" w:hint="default"/>
      </w:rPr>
    </w:lvl>
    <w:lvl w:ilvl="4" w:tplc="04050003" w:tentative="1">
      <w:start w:val="1"/>
      <w:numFmt w:val="bullet"/>
      <w:lvlText w:val="o"/>
      <w:lvlJc w:val="left"/>
      <w:pPr>
        <w:ind w:left="4530" w:hanging="360"/>
      </w:pPr>
      <w:rPr>
        <w:rFonts w:ascii="Courier New" w:hAnsi="Courier New" w:cs="Courier New" w:hint="default"/>
      </w:rPr>
    </w:lvl>
    <w:lvl w:ilvl="5" w:tplc="04050005" w:tentative="1">
      <w:start w:val="1"/>
      <w:numFmt w:val="bullet"/>
      <w:lvlText w:val=""/>
      <w:lvlJc w:val="left"/>
      <w:pPr>
        <w:ind w:left="5250" w:hanging="360"/>
      </w:pPr>
      <w:rPr>
        <w:rFonts w:ascii="Wingdings" w:hAnsi="Wingdings" w:hint="default"/>
      </w:rPr>
    </w:lvl>
    <w:lvl w:ilvl="6" w:tplc="04050001" w:tentative="1">
      <w:start w:val="1"/>
      <w:numFmt w:val="bullet"/>
      <w:lvlText w:val=""/>
      <w:lvlJc w:val="left"/>
      <w:pPr>
        <w:ind w:left="5970" w:hanging="360"/>
      </w:pPr>
      <w:rPr>
        <w:rFonts w:ascii="Symbol" w:hAnsi="Symbol" w:hint="default"/>
      </w:rPr>
    </w:lvl>
    <w:lvl w:ilvl="7" w:tplc="04050003" w:tentative="1">
      <w:start w:val="1"/>
      <w:numFmt w:val="bullet"/>
      <w:lvlText w:val="o"/>
      <w:lvlJc w:val="left"/>
      <w:pPr>
        <w:ind w:left="6690" w:hanging="360"/>
      </w:pPr>
      <w:rPr>
        <w:rFonts w:ascii="Courier New" w:hAnsi="Courier New" w:cs="Courier New" w:hint="default"/>
      </w:rPr>
    </w:lvl>
    <w:lvl w:ilvl="8" w:tplc="04050005" w:tentative="1">
      <w:start w:val="1"/>
      <w:numFmt w:val="bullet"/>
      <w:lvlText w:val=""/>
      <w:lvlJc w:val="left"/>
      <w:pPr>
        <w:ind w:left="7410" w:hanging="360"/>
      </w:pPr>
      <w:rPr>
        <w:rFonts w:ascii="Wingdings" w:hAnsi="Wingdings" w:hint="default"/>
      </w:rPr>
    </w:lvl>
  </w:abstractNum>
  <w:abstractNum w:abstractNumId="18" w15:restartNumberingAfterBreak="0">
    <w:nsid w:val="208F3592"/>
    <w:multiLevelType w:val="hybridMultilevel"/>
    <w:tmpl w:val="FFF61F6A"/>
    <w:lvl w:ilvl="0" w:tplc="1744D3E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24737C4F"/>
    <w:multiLevelType w:val="singleLevel"/>
    <w:tmpl w:val="78BC5520"/>
    <w:lvl w:ilvl="0">
      <w:start w:val="1"/>
      <w:numFmt w:val="bullet"/>
      <w:pStyle w:val="odrakao"/>
      <w:lvlText w:val=""/>
      <w:lvlJc w:val="left"/>
      <w:pPr>
        <w:tabs>
          <w:tab w:val="num" w:pos="360"/>
        </w:tabs>
        <w:ind w:left="360" w:hanging="360"/>
      </w:pPr>
      <w:rPr>
        <w:rFonts w:ascii="Wingdings" w:hAnsi="Wingdings" w:hint="default"/>
      </w:rPr>
    </w:lvl>
  </w:abstractNum>
  <w:abstractNum w:abstractNumId="20" w15:restartNumberingAfterBreak="0">
    <w:nsid w:val="271B7489"/>
    <w:multiLevelType w:val="hybridMultilevel"/>
    <w:tmpl w:val="C2C0CB60"/>
    <w:lvl w:ilvl="0" w:tplc="1744D3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F7D0742"/>
    <w:multiLevelType w:val="hybridMultilevel"/>
    <w:tmpl w:val="1DF0D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B01273"/>
    <w:multiLevelType w:val="hybridMultilevel"/>
    <w:tmpl w:val="CA0CBB5A"/>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31414B8C"/>
    <w:multiLevelType w:val="hybridMultilevel"/>
    <w:tmpl w:val="FB6E46AA"/>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31A3084D"/>
    <w:multiLevelType w:val="singleLevel"/>
    <w:tmpl w:val="3046789C"/>
    <w:lvl w:ilvl="0">
      <w:numFmt w:val="bullet"/>
      <w:lvlText w:val="-"/>
      <w:lvlJc w:val="left"/>
      <w:pPr>
        <w:tabs>
          <w:tab w:val="num" w:pos="1211"/>
        </w:tabs>
        <w:ind w:left="1211" w:hanging="360"/>
      </w:pPr>
      <w:rPr>
        <w:rFonts w:hint="default"/>
      </w:rPr>
    </w:lvl>
  </w:abstractNum>
  <w:abstractNum w:abstractNumId="25" w15:restartNumberingAfterBreak="0">
    <w:nsid w:val="346C4233"/>
    <w:multiLevelType w:val="multilevel"/>
    <w:tmpl w:val="DB70F8A2"/>
    <w:lvl w:ilvl="0">
      <w:start w:val="1"/>
      <w:numFmt w:val="bullet"/>
      <w:pStyle w:val="odrkau-rovn"/>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5E72F00"/>
    <w:multiLevelType w:val="hybridMultilevel"/>
    <w:tmpl w:val="92BEEA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2A15A1"/>
    <w:multiLevelType w:val="hybridMultilevel"/>
    <w:tmpl w:val="A4000FC2"/>
    <w:lvl w:ilvl="0" w:tplc="04050001">
      <w:start w:val="1"/>
      <w:numFmt w:val="bullet"/>
      <w:lvlText w:val=""/>
      <w:lvlJc w:val="left"/>
      <w:pPr>
        <w:tabs>
          <w:tab w:val="num" w:pos="360"/>
        </w:tabs>
        <w:ind w:left="360" w:hanging="360"/>
      </w:pPr>
      <w:rPr>
        <w:rFonts w:ascii="Symbol" w:hAnsi="Symbol" w:hint="default"/>
      </w:rPr>
    </w:lvl>
    <w:lvl w:ilvl="1" w:tplc="5A669216" w:tentative="1">
      <w:start w:val="1"/>
      <w:numFmt w:val="bullet"/>
      <w:lvlText w:val=""/>
      <w:lvlJc w:val="left"/>
      <w:pPr>
        <w:tabs>
          <w:tab w:val="num" w:pos="1080"/>
        </w:tabs>
        <w:ind w:left="1080" w:hanging="360"/>
      </w:pPr>
      <w:rPr>
        <w:rFonts w:ascii="Wingdings" w:hAnsi="Wingdings" w:hint="default"/>
      </w:rPr>
    </w:lvl>
    <w:lvl w:ilvl="2" w:tplc="F00A7104" w:tentative="1">
      <w:start w:val="1"/>
      <w:numFmt w:val="bullet"/>
      <w:lvlText w:val=""/>
      <w:lvlJc w:val="left"/>
      <w:pPr>
        <w:tabs>
          <w:tab w:val="num" w:pos="1800"/>
        </w:tabs>
        <w:ind w:left="1800" w:hanging="360"/>
      </w:pPr>
      <w:rPr>
        <w:rFonts w:ascii="Wingdings" w:hAnsi="Wingdings" w:hint="default"/>
      </w:rPr>
    </w:lvl>
    <w:lvl w:ilvl="3" w:tplc="1B946E68" w:tentative="1">
      <w:start w:val="1"/>
      <w:numFmt w:val="bullet"/>
      <w:lvlText w:val=""/>
      <w:lvlJc w:val="left"/>
      <w:pPr>
        <w:tabs>
          <w:tab w:val="num" w:pos="2520"/>
        </w:tabs>
        <w:ind w:left="2520" w:hanging="360"/>
      </w:pPr>
      <w:rPr>
        <w:rFonts w:ascii="Wingdings" w:hAnsi="Wingdings" w:hint="default"/>
      </w:rPr>
    </w:lvl>
    <w:lvl w:ilvl="4" w:tplc="1B9478A8" w:tentative="1">
      <w:start w:val="1"/>
      <w:numFmt w:val="bullet"/>
      <w:lvlText w:val=""/>
      <w:lvlJc w:val="left"/>
      <w:pPr>
        <w:tabs>
          <w:tab w:val="num" w:pos="3240"/>
        </w:tabs>
        <w:ind w:left="3240" w:hanging="360"/>
      </w:pPr>
      <w:rPr>
        <w:rFonts w:ascii="Wingdings" w:hAnsi="Wingdings" w:hint="default"/>
      </w:rPr>
    </w:lvl>
    <w:lvl w:ilvl="5" w:tplc="52A2A342" w:tentative="1">
      <w:start w:val="1"/>
      <w:numFmt w:val="bullet"/>
      <w:lvlText w:val=""/>
      <w:lvlJc w:val="left"/>
      <w:pPr>
        <w:tabs>
          <w:tab w:val="num" w:pos="3960"/>
        </w:tabs>
        <w:ind w:left="3960" w:hanging="360"/>
      </w:pPr>
      <w:rPr>
        <w:rFonts w:ascii="Wingdings" w:hAnsi="Wingdings" w:hint="default"/>
      </w:rPr>
    </w:lvl>
    <w:lvl w:ilvl="6" w:tplc="BB9E2F0E" w:tentative="1">
      <w:start w:val="1"/>
      <w:numFmt w:val="bullet"/>
      <w:lvlText w:val=""/>
      <w:lvlJc w:val="left"/>
      <w:pPr>
        <w:tabs>
          <w:tab w:val="num" w:pos="4680"/>
        </w:tabs>
        <w:ind w:left="4680" w:hanging="360"/>
      </w:pPr>
      <w:rPr>
        <w:rFonts w:ascii="Wingdings" w:hAnsi="Wingdings" w:hint="default"/>
      </w:rPr>
    </w:lvl>
    <w:lvl w:ilvl="7" w:tplc="A5E4CC8A" w:tentative="1">
      <w:start w:val="1"/>
      <w:numFmt w:val="bullet"/>
      <w:lvlText w:val=""/>
      <w:lvlJc w:val="left"/>
      <w:pPr>
        <w:tabs>
          <w:tab w:val="num" w:pos="5400"/>
        </w:tabs>
        <w:ind w:left="5400" w:hanging="360"/>
      </w:pPr>
      <w:rPr>
        <w:rFonts w:ascii="Wingdings" w:hAnsi="Wingdings" w:hint="default"/>
      </w:rPr>
    </w:lvl>
    <w:lvl w:ilvl="8" w:tplc="43B00F8E"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8112543"/>
    <w:multiLevelType w:val="hybridMultilevel"/>
    <w:tmpl w:val="3920DE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8C35A93"/>
    <w:multiLevelType w:val="hybridMultilevel"/>
    <w:tmpl w:val="B9C8C4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FF30776"/>
    <w:multiLevelType w:val="hybridMultilevel"/>
    <w:tmpl w:val="13BA283E"/>
    <w:lvl w:ilvl="0" w:tplc="97808E3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37B0ABA"/>
    <w:multiLevelType w:val="hybridMultilevel"/>
    <w:tmpl w:val="BB0A16B8"/>
    <w:lvl w:ilvl="0" w:tplc="DD98B48C">
      <w:start w:val="1"/>
      <w:numFmt w:val="lowerLetter"/>
      <w:lvlText w:val="(%1)"/>
      <w:lvlJc w:val="left"/>
      <w:pPr>
        <w:ind w:left="360" w:hanging="360"/>
      </w:pPr>
      <w:rPr>
        <w:rFonts w:hint="default"/>
      </w:rPr>
    </w:lvl>
    <w:lvl w:ilvl="1" w:tplc="E36678A6">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8F0570C"/>
    <w:multiLevelType w:val="multilevel"/>
    <w:tmpl w:val="54F24E20"/>
    <w:styleLink w:val="u-rovn-seznam"/>
    <w:lvl w:ilvl="0">
      <w:start w:val="1"/>
      <w:numFmt w:val="bullet"/>
      <w:lvlText w:val=""/>
      <w:lvlJc w:val="left"/>
      <w:pPr>
        <w:ind w:left="284" w:firstLine="0"/>
      </w:pPr>
      <w:rPr>
        <w:rFonts w:ascii="Wingdings" w:hAnsi="Wingdings" w:hint="default"/>
      </w:rPr>
    </w:lvl>
    <w:lvl w:ilvl="1">
      <w:start w:val="1"/>
      <w:numFmt w:val="bullet"/>
      <w:lvlText w:val=""/>
      <w:lvlJc w:val="left"/>
      <w:pPr>
        <w:ind w:left="568" w:firstLine="0"/>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Symbol" w:hAnsi="Symbol" w:hint="default"/>
      </w:rPr>
    </w:lvl>
    <w:lvl w:ilvl="4">
      <w:start w:val="1"/>
      <w:numFmt w:val="bullet"/>
      <w:lvlText w:val=""/>
      <w:lvlJc w:val="left"/>
      <w:pPr>
        <w:ind w:left="1420" w:firstLine="0"/>
      </w:pPr>
      <w:rPr>
        <w:rFonts w:ascii="Symbol" w:hAnsi="Symbol"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Symbol" w:hAnsi="Symbol" w:hint="default"/>
      </w:rPr>
    </w:lvl>
    <w:lvl w:ilvl="8">
      <w:start w:val="1"/>
      <w:numFmt w:val="bullet"/>
      <w:lvlText w:val=""/>
      <w:lvlJc w:val="left"/>
      <w:pPr>
        <w:ind w:left="2556" w:firstLine="0"/>
      </w:pPr>
      <w:rPr>
        <w:rFonts w:ascii="Symbol" w:hAnsi="Symbol" w:hint="default"/>
      </w:rPr>
    </w:lvl>
  </w:abstractNum>
  <w:abstractNum w:abstractNumId="33" w15:restartNumberingAfterBreak="0">
    <w:nsid w:val="494637C0"/>
    <w:multiLevelType w:val="hybridMultilevel"/>
    <w:tmpl w:val="F4529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B235273"/>
    <w:multiLevelType w:val="hybridMultilevel"/>
    <w:tmpl w:val="E124E3EA"/>
    <w:lvl w:ilvl="0" w:tplc="48704B3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DC075E"/>
    <w:multiLevelType w:val="hybridMultilevel"/>
    <w:tmpl w:val="B75E3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C983B23"/>
    <w:multiLevelType w:val="hybridMultilevel"/>
    <w:tmpl w:val="FA14919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7" w15:restartNumberingAfterBreak="0">
    <w:nsid w:val="4CD13125"/>
    <w:multiLevelType w:val="hybridMultilevel"/>
    <w:tmpl w:val="4FB4198C"/>
    <w:lvl w:ilvl="0" w:tplc="2FBA7148">
      <w:start w:val="10"/>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8" w15:restartNumberingAfterBreak="0">
    <w:nsid w:val="4D7D7E32"/>
    <w:multiLevelType w:val="hybridMultilevel"/>
    <w:tmpl w:val="304E9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ED03934"/>
    <w:multiLevelType w:val="hybridMultilevel"/>
    <w:tmpl w:val="8130A33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0" w15:restartNumberingAfterBreak="0">
    <w:nsid w:val="53714F22"/>
    <w:multiLevelType w:val="hybridMultilevel"/>
    <w:tmpl w:val="6886635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431B83"/>
    <w:multiLevelType w:val="hybridMultilevel"/>
    <w:tmpl w:val="7E66B39E"/>
    <w:lvl w:ilvl="0" w:tplc="81C4DE86">
      <w:start w:val="10"/>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5D030361"/>
    <w:multiLevelType w:val="hybridMultilevel"/>
    <w:tmpl w:val="AE48A34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E216411"/>
    <w:multiLevelType w:val="multilevel"/>
    <w:tmpl w:val="4796C8DE"/>
    <w:lvl w:ilvl="0">
      <w:start w:val="1"/>
      <w:numFmt w:val="decimal"/>
      <w:pStyle w:val="odrka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EB6436E"/>
    <w:multiLevelType w:val="hybridMultilevel"/>
    <w:tmpl w:val="E2102384"/>
    <w:lvl w:ilvl="0" w:tplc="176C0F50">
      <w:start w:val="1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5F4B028C"/>
    <w:multiLevelType w:val="multilevel"/>
    <w:tmpl w:val="B282BB26"/>
    <w:lvl w:ilvl="0">
      <w:start w:val="1"/>
      <w:numFmt w:val="bullet"/>
      <w:pStyle w:val="odrka"/>
      <w:lvlText w:val=""/>
      <w:lvlJc w:val="left"/>
      <w:pPr>
        <w:ind w:left="360" w:hanging="360"/>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46" w15:restartNumberingAfterBreak="0">
    <w:nsid w:val="61C4549A"/>
    <w:multiLevelType w:val="hybridMultilevel"/>
    <w:tmpl w:val="4114F204"/>
    <w:lvl w:ilvl="0" w:tplc="FFFFFFFF">
      <w:start w:val="1"/>
      <w:numFmt w:val="bullet"/>
      <w:pStyle w:val="Odrka1rove"/>
      <w:lvlText w:val=""/>
      <w:lvlJc w:val="left"/>
      <w:pPr>
        <w:ind w:left="890" w:hanging="360"/>
      </w:pPr>
      <w:rPr>
        <w:rFonts w:ascii="Symbol" w:hAnsi="Symbol" w:hint="default"/>
      </w:rPr>
    </w:lvl>
    <w:lvl w:ilvl="1" w:tplc="83E8B900">
      <w:start w:val="1"/>
      <w:numFmt w:val="bullet"/>
      <w:lvlText w:val="­"/>
      <w:lvlJc w:val="left"/>
      <w:pPr>
        <w:ind w:left="1610" w:hanging="360"/>
      </w:pPr>
      <w:rPr>
        <w:rFonts w:ascii="Courier New" w:hAnsi="Courier New" w:hint="default"/>
      </w:rPr>
    </w:lvl>
    <w:lvl w:ilvl="2" w:tplc="04050005">
      <w:start w:val="1"/>
      <w:numFmt w:val="bullet"/>
      <w:lvlText w:val=""/>
      <w:lvlJc w:val="left"/>
      <w:pPr>
        <w:ind w:left="2330" w:hanging="360"/>
      </w:pPr>
      <w:rPr>
        <w:rFonts w:ascii="Wingdings" w:hAnsi="Wingdings" w:hint="default"/>
      </w:rPr>
    </w:lvl>
    <w:lvl w:ilvl="3" w:tplc="EFAEA746">
      <w:numFmt w:val="bullet"/>
      <w:lvlText w:val="-"/>
      <w:lvlJc w:val="left"/>
      <w:pPr>
        <w:ind w:left="3050" w:hanging="360"/>
      </w:pPr>
      <w:rPr>
        <w:rFonts w:ascii="Arial" w:eastAsia="Times New Roman" w:hAnsi="Arial" w:cs="Aria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47" w15:restartNumberingAfterBreak="0">
    <w:nsid w:val="62A80173"/>
    <w:multiLevelType w:val="hybridMultilevel"/>
    <w:tmpl w:val="E1AC1E9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8" w15:restartNumberingAfterBreak="0">
    <w:nsid w:val="653609D4"/>
    <w:multiLevelType w:val="hybridMultilevel"/>
    <w:tmpl w:val="CA0CBB5A"/>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9" w15:restartNumberingAfterBreak="0">
    <w:nsid w:val="68B07992"/>
    <w:multiLevelType w:val="hybridMultilevel"/>
    <w:tmpl w:val="38A21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8BA62D1"/>
    <w:multiLevelType w:val="singleLevel"/>
    <w:tmpl w:val="2AC2A73A"/>
    <w:lvl w:ilvl="0">
      <w:start w:val="1"/>
      <w:numFmt w:val="decimal"/>
      <w:pStyle w:val="odrazka1-j"/>
      <w:lvlText w:val="%1)"/>
      <w:lvlJc w:val="left"/>
      <w:pPr>
        <w:tabs>
          <w:tab w:val="num" w:pos="360"/>
        </w:tabs>
        <w:ind w:left="360" w:hanging="360"/>
      </w:pPr>
    </w:lvl>
  </w:abstractNum>
  <w:abstractNum w:abstractNumId="51" w15:restartNumberingAfterBreak="0">
    <w:nsid w:val="6A4D625C"/>
    <w:multiLevelType w:val="hybridMultilevel"/>
    <w:tmpl w:val="1BEEECBC"/>
    <w:lvl w:ilvl="0" w:tplc="A3A21C40">
      <w:start w:val="10"/>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2" w15:restartNumberingAfterBreak="0">
    <w:nsid w:val="6FDE72B4"/>
    <w:multiLevelType w:val="hybridMultilevel"/>
    <w:tmpl w:val="6046B598"/>
    <w:lvl w:ilvl="0" w:tplc="1744D3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097209E"/>
    <w:multiLevelType w:val="hybridMultilevel"/>
    <w:tmpl w:val="8F8A3E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6E86347"/>
    <w:multiLevelType w:val="hybridMultilevel"/>
    <w:tmpl w:val="DDA4977C"/>
    <w:lvl w:ilvl="0" w:tplc="E04425AC">
      <w:start w:val="1"/>
      <w:numFmt w:val="bullet"/>
      <w:lvlText w:val="•"/>
      <w:lvlJc w:val="left"/>
      <w:pPr>
        <w:tabs>
          <w:tab w:val="num" w:pos="720"/>
        </w:tabs>
        <w:ind w:left="720" w:hanging="360"/>
      </w:pPr>
      <w:rPr>
        <w:rFonts w:ascii="Times New Roman" w:hAnsi="Times New Roman" w:hint="default"/>
      </w:rPr>
    </w:lvl>
    <w:lvl w:ilvl="1" w:tplc="AAECAA06" w:tentative="1">
      <w:start w:val="1"/>
      <w:numFmt w:val="bullet"/>
      <w:lvlText w:val="•"/>
      <w:lvlJc w:val="left"/>
      <w:pPr>
        <w:tabs>
          <w:tab w:val="num" w:pos="1440"/>
        </w:tabs>
        <w:ind w:left="1440" w:hanging="360"/>
      </w:pPr>
      <w:rPr>
        <w:rFonts w:ascii="Times New Roman" w:hAnsi="Times New Roman" w:hint="default"/>
      </w:rPr>
    </w:lvl>
    <w:lvl w:ilvl="2" w:tplc="4BF69AF6" w:tentative="1">
      <w:start w:val="1"/>
      <w:numFmt w:val="bullet"/>
      <w:lvlText w:val="•"/>
      <w:lvlJc w:val="left"/>
      <w:pPr>
        <w:tabs>
          <w:tab w:val="num" w:pos="2160"/>
        </w:tabs>
        <w:ind w:left="2160" w:hanging="360"/>
      </w:pPr>
      <w:rPr>
        <w:rFonts w:ascii="Times New Roman" w:hAnsi="Times New Roman" w:hint="default"/>
      </w:rPr>
    </w:lvl>
    <w:lvl w:ilvl="3" w:tplc="50F09F72" w:tentative="1">
      <w:start w:val="1"/>
      <w:numFmt w:val="bullet"/>
      <w:lvlText w:val="•"/>
      <w:lvlJc w:val="left"/>
      <w:pPr>
        <w:tabs>
          <w:tab w:val="num" w:pos="2880"/>
        </w:tabs>
        <w:ind w:left="2880" w:hanging="360"/>
      </w:pPr>
      <w:rPr>
        <w:rFonts w:ascii="Times New Roman" w:hAnsi="Times New Roman" w:hint="default"/>
      </w:rPr>
    </w:lvl>
    <w:lvl w:ilvl="4" w:tplc="717AB9F2" w:tentative="1">
      <w:start w:val="1"/>
      <w:numFmt w:val="bullet"/>
      <w:lvlText w:val="•"/>
      <w:lvlJc w:val="left"/>
      <w:pPr>
        <w:tabs>
          <w:tab w:val="num" w:pos="3600"/>
        </w:tabs>
        <w:ind w:left="3600" w:hanging="360"/>
      </w:pPr>
      <w:rPr>
        <w:rFonts w:ascii="Times New Roman" w:hAnsi="Times New Roman" w:hint="default"/>
      </w:rPr>
    </w:lvl>
    <w:lvl w:ilvl="5" w:tplc="05FAB5E2" w:tentative="1">
      <w:start w:val="1"/>
      <w:numFmt w:val="bullet"/>
      <w:lvlText w:val="•"/>
      <w:lvlJc w:val="left"/>
      <w:pPr>
        <w:tabs>
          <w:tab w:val="num" w:pos="4320"/>
        </w:tabs>
        <w:ind w:left="4320" w:hanging="360"/>
      </w:pPr>
      <w:rPr>
        <w:rFonts w:ascii="Times New Roman" w:hAnsi="Times New Roman" w:hint="default"/>
      </w:rPr>
    </w:lvl>
    <w:lvl w:ilvl="6" w:tplc="12943EA0" w:tentative="1">
      <w:start w:val="1"/>
      <w:numFmt w:val="bullet"/>
      <w:lvlText w:val="•"/>
      <w:lvlJc w:val="left"/>
      <w:pPr>
        <w:tabs>
          <w:tab w:val="num" w:pos="5040"/>
        </w:tabs>
        <w:ind w:left="5040" w:hanging="360"/>
      </w:pPr>
      <w:rPr>
        <w:rFonts w:ascii="Times New Roman" w:hAnsi="Times New Roman" w:hint="default"/>
      </w:rPr>
    </w:lvl>
    <w:lvl w:ilvl="7" w:tplc="ED36C78E" w:tentative="1">
      <w:start w:val="1"/>
      <w:numFmt w:val="bullet"/>
      <w:lvlText w:val="•"/>
      <w:lvlJc w:val="left"/>
      <w:pPr>
        <w:tabs>
          <w:tab w:val="num" w:pos="5760"/>
        </w:tabs>
        <w:ind w:left="5760" w:hanging="360"/>
      </w:pPr>
      <w:rPr>
        <w:rFonts w:ascii="Times New Roman" w:hAnsi="Times New Roman" w:hint="default"/>
      </w:rPr>
    </w:lvl>
    <w:lvl w:ilvl="8" w:tplc="15BE702C"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7AA73893"/>
    <w:multiLevelType w:val="singleLevel"/>
    <w:tmpl w:val="1D0A75AC"/>
    <w:lvl w:ilvl="0">
      <w:numFmt w:val="bullet"/>
      <w:lvlText w:val="-"/>
      <w:lvlJc w:val="left"/>
      <w:pPr>
        <w:tabs>
          <w:tab w:val="num" w:pos="1215"/>
        </w:tabs>
        <w:ind w:left="1215" w:hanging="360"/>
      </w:pPr>
      <w:rPr>
        <w:rFonts w:hint="default"/>
      </w:rPr>
    </w:lvl>
  </w:abstractNum>
  <w:abstractNum w:abstractNumId="56" w15:restartNumberingAfterBreak="0">
    <w:nsid w:val="7DA97F98"/>
    <w:multiLevelType w:val="hybridMultilevel"/>
    <w:tmpl w:val="9C528BC8"/>
    <w:lvl w:ilvl="0" w:tplc="FFFFFFFF">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55A4D98E">
      <w:start w:val="1"/>
      <w:numFmt w:val="lowerLetter"/>
      <w:lvlText w:val="%2)"/>
      <w:lvlJc w:val="left"/>
      <w:pPr>
        <w:ind w:left="1440" w:hanging="360"/>
      </w:pPr>
      <w:rPr>
        <w:rFonts w:ascii="Arial" w:hAnsi="Arial" w:hint="default"/>
        <w:b w:val="0"/>
        <w:i w:val="0"/>
        <w:caps w:val="0"/>
        <w:strike w:val="0"/>
        <w:dstrike w:val="0"/>
        <w:vanish w:val="0"/>
        <w:sz w:val="2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6"/>
  </w:num>
  <w:num w:numId="3">
    <w:abstractNumId w:val="50"/>
  </w:num>
  <w:num w:numId="4">
    <w:abstractNumId w:val="25"/>
  </w:num>
  <w:num w:numId="5">
    <w:abstractNumId w:val="7"/>
  </w:num>
  <w:num w:numId="6">
    <w:abstractNumId w:val="32"/>
  </w:num>
  <w:num w:numId="7">
    <w:abstractNumId w:val="45"/>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5"/>
  </w:num>
  <w:num w:numId="16">
    <w:abstractNumId w:val="43"/>
  </w:num>
  <w:num w:numId="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19">
    <w:abstractNumId w:val="24"/>
  </w:num>
  <w:num w:numId="20">
    <w:abstractNumId w:val="55"/>
  </w:num>
  <w:num w:numId="21">
    <w:abstractNumId w:val="35"/>
  </w:num>
  <w:num w:numId="22">
    <w:abstractNumId w:val="41"/>
  </w:num>
  <w:num w:numId="23">
    <w:abstractNumId w:val="51"/>
  </w:num>
  <w:num w:numId="24">
    <w:abstractNumId w:val="37"/>
  </w:num>
  <w:num w:numId="25">
    <w:abstractNumId w:val="11"/>
  </w:num>
  <w:num w:numId="26">
    <w:abstractNumId w:val="12"/>
  </w:num>
  <w:num w:numId="27">
    <w:abstractNumId w:val="31"/>
  </w:num>
  <w:num w:numId="28">
    <w:abstractNumId w:val="47"/>
  </w:num>
  <w:num w:numId="29">
    <w:abstractNumId w:val="17"/>
  </w:num>
  <w:num w:numId="30">
    <w:abstractNumId w:val="13"/>
  </w:num>
  <w:num w:numId="31">
    <w:abstractNumId w:val="30"/>
  </w:num>
  <w:num w:numId="32">
    <w:abstractNumId w:val="28"/>
  </w:num>
  <w:num w:numId="33">
    <w:abstractNumId w:val="48"/>
  </w:num>
  <w:num w:numId="34">
    <w:abstractNumId w:val="10"/>
  </w:num>
  <w:num w:numId="35">
    <w:abstractNumId w:val="42"/>
  </w:num>
  <w:num w:numId="36">
    <w:abstractNumId w:val="5"/>
  </w:num>
  <w:num w:numId="37">
    <w:abstractNumId w:val="2"/>
  </w:num>
  <w:num w:numId="38">
    <w:abstractNumId w:val="15"/>
  </w:num>
  <w:num w:numId="39">
    <w:abstractNumId w:val="20"/>
  </w:num>
  <w:num w:numId="40">
    <w:abstractNumId w:val="9"/>
  </w:num>
  <w:num w:numId="41">
    <w:abstractNumId w:val="18"/>
  </w:num>
  <w:num w:numId="42">
    <w:abstractNumId w:val="52"/>
  </w:num>
  <w:num w:numId="43">
    <w:abstractNumId w:val="14"/>
  </w:num>
  <w:num w:numId="44">
    <w:abstractNumId w:val="33"/>
  </w:num>
  <w:num w:numId="45">
    <w:abstractNumId w:val="54"/>
  </w:num>
  <w:num w:numId="46">
    <w:abstractNumId w:val="4"/>
  </w:num>
  <w:num w:numId="47">
    <w:abstractNumId w:val="36"/>
  </w:num>
  <w:num w:numId="48">
    <w:abstractNumId w:val="38"/>
  </w:num>
  <w:num w:numId="49">
    <w:abstractNumId w:val="40"/>
  </w:num>
  <w:num w:numId="50">
    <w:abstractNumId w:val="27"/>
  </w:num>
  <w:num w:numId="51">
    <w:abstractNumId w:val="44"/>
  </w:num>
  <w:num w:numId="52">
    <w:abstractNumId w:val="34"/>
  </w:num>
  <w:num w:numId="53">
    <w:abstractNumId w:val="0"/>
  </w:num>
  <w:num w:numId="54">
    <w:abstractNumId w:val="0"/>
  </w:num>
  <w:num w:numId="55">
    <w:abstractNumId w:val="26"/>
  </w:num>
  <w:num w:numId="56">
    <w:abstractNumId w:val="39"/>
  </w:num>
  <w:num w:numId="57">
    <w:abstractNumId w:val="8"/>
  </w:num>
  <w:num w:numId="58">
    <w:abstractNumId w:val="46"/>
  </w:num>
  <w:num w:numId="59">
    <w:abstractNumId w:val="3"/>
  </w:num>
  <w:num w:numId="60">
    <w:abstractNumId w:val="16"/>
  </w:num>
  <w:num w:numId="61">
    <w:abstractNumId w:val="56"/>
  </w:num>
  <w:num w:numId="62">
    <w:abstractNumId w:val="53"/>
  </w:num>
  <w:num w:numId="63">
    <w:abstractNumId w:val="29"/>
  </w:num>
  <w:num w:numId="64">
    <w:abstractNumId w:val="23"/>
  </w:num>
  <w:num w:numId="65">
    <w:abstractNumId w:val="22"/>
  </w:num>
  <w:num w:numId="66">
    <w:abstractNumId w:val="0"/>
  </w:num>
  <w:num w:numId="67">
    <w:abstractNumId w:val="0"/>
  </w:num>
  <w:num w:numId="68">
    <w:abstractNumId w:val="0"/>
  </w:num>
  <w:num w:numId="69">
    <w:abstractNumId w:val="49"/>
  </w:num>
  <w:num w:numId="70">
    <w:abstractNumId w:val="2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el Hrabě">
    <w15:presenceInfo w15:providerId="None" w15:userId="Pavel Hrab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linkStyle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D3"/>
    <w:rsid w:val="00003318"/>
    <w:rsid w:val="00007565"/>
    <w:rsid w:val="00013655"/>
    <w:rsid w:val="0001460D"/>
    <w:rsid w:val="00015C9C"/>
    <w:rsid w:val="000208D6"/>
    <w:rsid w:val="00021AB4"/>
    <w:rsid w:val="000243F3"/>
    <w:rsid w:val="00025555"/>
    <w:rsid w:val="00030205"/>
    <w:rsid w:val="00032735"/>
    <w:rsid w:val="00032C04"/>
    <w:rsid w:val="00034407"/>
    <w:rsid w:val="00035BC0"/>
    <w:rsid w:val="000374A9"/>
    <w:rsid w:val="000436CD"/>
    <w:rsid w:val="00044651"/>
    <w:rsid w:val="000505F6"/>
    <w:rsid w:val="00051C12"/>
    <w:rsid w:val="0005608F"/>
    <w:rsid w:val="000643D3"/>
    <w:rsid w:val="00067D03"/>
    <w:rsid w:val="00073C19"/>
    <w:rsid w:val="00073E78"/>
    <w:rsid w:val="0008366C"/>
    <w:rsid w:val="000856B3"/>
    <w:rsid w:val="0008586E"/>
    <w:rsid w:val="00091C7B"/>
    <w:rsid w:val="000A2282"/>
    <w:rsid w:val="000A2ED9"/>
    <w:rsid w:val="000A32B2"/>
    <w:rsid w:val="000A5033"/>
    <w:rsid w:val="000A5828"/>
    <w:rsid w:val="000A77ED"/>
    <w:rsid w:val="000B0BF3"/>
    <w:rsid w:val="000B16D1"/>
    <w:rsid w:val="000B2827"/>
    <w:rsid w:val="000B2D37"/>
    <w:rsid w:val="000B3B77"/>
    <w:rsid w:val="000B3D79"/>
    <w:rsid w:val="000B4489"/>
    <w:rsid w:val="000C28F4"/>
    <w:rsid w:val="000C35F0"/>
    <w:rsid w:val="000C7A37"/>
    <w:rsid w:val="000D1852"/>
    <w:rsid w:val="000D2C91"/>
    <w:rsid w:val="000D5711"/>
    <w:rsid w:val="000E076B"/>
    <w:rsid w:val="000E431A"/>
    <w:rsid w:val="000F12A9"/>
    <w:rsid w:val="000F1A90"/>
    <w:rsid w:val="000F1C71"/>
    <w:rsid w:val="000F25FC"/>
    <w:rsid w:val="00100373"/>
    <w:rsid w:val="00103DE1"/>
    <w:rsid w:val="001068EF"/>
    <w:rsid w:val="001132D5"/>
    <w:rsid w:val="001159DA"/>
    <w:rsid w:val="00116C93"/>
    <w:rsid w:val="001322EA"/>
    <w:rsid w:val="00137DDD"/>
    <w:rsid w:val="00142DA2"/>
    <w:rsid w:val="00145E34"/>
    <w:rsid w:val="00152794"/>
    <w:rsid w:val="00153478"/>
    <w:rsid w:val="0015356A"/>
    <w:rsid w:val="00155D4D"/>
    <w:rsid w:val="00155DD0"/>
    <w:rsid w:val="00164BE3"/>
    <w:rsid w:val="00165747"/>
    <w:rsid w:val="00176871"/>
    <w:rsid w:val="00184DC4"/>
    <w:rsid w:val="00185E2F"/>
    <w:rsid w:val="001871E3"/>
    <w:rsid w:val="00192679"/>
    <w:rsid w:val="00194687"/>
    <w:rsid w:val="00196E1F"/>
    <w:rsid w:val="001A1686"/>
    <w:rsid w:val="001A1855"/>
    <w:rsid w:val="001A2163"/>
    <w:rsid w:val="001A3259"/>
    <w:rsid w:val="001A4186"/>
    <w:rsid w:val="001A6C5E"/>
    <w:rsid w:val="001B0D30"/>
    <w:rsid w:val="001B3E7F"/>
    <w:rsid w:val="001B4E51"/>
    <w:rsid w:val="001C1A2A"/>
    <w:rsid w:val="001D243A"/>
    <w:rsid w:val="001E1431"/>
    <w:rsid w:val="001E4846"/>
    <w:rsid w:val="001E4A47"/>
    <w:rsid w:val="001F01D3"/>
    <w:rsid w:val="001F06F8"/>
    <w:rsid w:val="001F31A1"/>
    <w:rsid w:val="001F7B0C"/>
    <w:rsid w:val="00202B8B"/>
    <w:rsid w:val="002034EA"/>
    <w:rsid w:val="00206BFF"/>
    <w:rsid w:val="0021720A"/>
    <w:rsid w:val="002175EC"/>
    <w:rsid w:val="00217D33"/>
    <w:rsid w:val="002204AA"/>
    <w:rsid w:val="002215BE"/>
    <w:rsid w:val="00221F5D"/>
    <w:rsid w:val="00222961"/>
    <w:rsid w:val="00223B82"/>
    <w:rsid w:val="002255FF"/>
    <w:rsid w:val="00225F3D"/>
    <w:rsid w:val="002300C2"/>
    <w:rsid w:val="00230752"/>
    <w:rsid w:val="00231726"/>
    <w:rsid w:val="00232FCB"/>
    <w:rsid w:val="00244084"/>
    <w:rsid w:val="00245828"/>
    <w:rsid w:val="0024635B"/>
    <w:rsid w:val="00250EEA"/>
    <w:rsid w:val="00251001"/>
    <w:rsid w:val="00254361"/>
    <w:rsid w:val="00254816"/>
    <w:rsid w:val="00257562"/>
    <w:rsid w:val="00260227"/>
    <w:rsid w:val="0026212B"/>
    <w:rsid w:val="00262F25"/>
    <w:rsid w:val="002636A2"/>
    <w:rsid w:val="00264B46"/>
    <w:rsid w:val="002670FA"/>
    <w:rsid w:val="00270F1F"/>
    <w:rsid w:val="00271B50"/>
    <w:rsid w:val="002737F6"/>
    <w:rsid w:val="002813DA"/>
    <w:rsid w:val="00282611"/>
    <w:rsid w:val="00282F16"/>
    <w:rsid w:val="00284335"/>
    <w:rsid w:val="00284F5D"/>
    <w:rsid w:val="00292E89"/>
    <w:rsid w:val="0029379D"/>
    <w:rsid w:val="00294CFA"/>
    <w:rsid w:val="002A13D9"/>
    <w:rsid w:val="002A2F0D"/>
    <w:rsid w:val="002A5C73"/>
    <w:rsid w:val="002A6BA5"/>
    <w:rsid w:val="002B34AA"/>
    <w:rsid w:val="002B3B03"/>
    <w:rsid w:val="002B3B2D"/>
    <w:rsid w:val="002B7A4B"/>
    <w:rsid w:val="002C1B8D"/>
    <w:rsid w:val="002C567E"/>
    <w:rsid w:val="002D13EC"/>
    <w:rsid w:val="002D3A13"/>
    <w:rsid w:val="002D4626"/>
    <w:rsid w:val="002E6841"/>
    <w:rsid w:val="002F2309"/>
    <w:rsid w:val="002F48C9"/>
    <w:rsid w:val="00304357"/>
    <w:rsid w:val="003057E4"/>
    <w:rsid w:val="00311EF0"/>
    <w:rsid w:val="00312A5A"/>
    <w:rsid w:val="00314FC1"/>
    <w:rsid w:val="0032327E"/>
    <w:rsid w:val="003279EA"/>
    <w:rsid w:val="00327EF4"/>
    <w:rsid w:val="003350D0"/>
    <w:rsid w:val="00335BCA"/>
    <w:rsid w:val="00335DE3"/>
    <w:rsid w:val="00344C6C"/>
    <w:rsid w:val="00357B8A"/>
    <w:rsid w:val="003617C2"/>
    <w:rsid w:val="003635E0"/>
    <w:rsid w:val="00365545"/>
    <w:rsid w:val="00367DE1"/>
    <w:rsid w:val="00372F58"/>
    <w:rsid w:val="00372FC2"/>
    <w:rsid w:val="003809E4"/>
    <w:rsid w:val="00386F13"/>
    <w:rsid w:val="003907E2"/>
    <w:rsid w:val="00391FE9"/>
    <w:rsid w:val="00394BC0"/>
    <w:rsid w:val="003A409E"/>
    <w:rsid w:val="003A7A98"/>
    <w:rsid w:val="003B089A"/>
    <w:rsid w:val="003B181A"/>
    <w:rsid w:val="003B36B1"/>
    <w:rsid w:val="003C08AB"/>
    <w:rsid w:val="003D144B"/>
    <w:rsid w:val="003D23D0"/>
    <w:rsid w:val="003D3E04"/>
    <w:rsid w:val="003D6E0A"/>
    <w:rsid w:val="003E3CA4"/>
    <w:rsid w:val="003E4250"/>
    <w:rsid w:val="003E5729"/>
    <w:rsid w:val="003F6971"/>
    <w:rsid w:val="00400A48"/>
    <w:rsid w:val="004041D3"/>
    <w:rsid w:val="00406938"/>
    <w:rsid w:val="00410EEA"/>
    <w:rsid w:val="00413760"/>
    <w:rsid w:val="00422466"/>
    <w:rsid w:val="004269EC"/>
    <w:rsid w:val="004305FC"/>
    <w:rsid w:val="00430682"/>
    <w:rsid w:val="0043380F"/>
    <w:rsid w:val="00434479"/>
    <w:rsid w:val="0045729D"/>
    <w:rsid w:val="004577DF"/>
    <w:rsid w:val="0046029E"/>
    <w:rsid w:val="00464A2C"/>
    <w:rsid w:val="00464CA1"/>
    <w:rsid w:val="0046624B"/>
    <w:rsid w:val="00467E0F"/>
    <w:rsid w:val="00470A04"/>
    <w:rsid w:val="00474979"/>
    <w:rsid w:val="004810C8"/>
    <w:rsid w:val="0049596C"/>
    <w:rsid w:val="004A23D8"/>
    <w:rsid w:val="004A3EF8"/>
    <w:rsid w:val="004A4A8B"/>
    <w:rsid w:val="004A4CF2"/>
    <w:rsid w:val="004A4F88"/>
    <w:rsid w:val="004A52A9"/>
    <w:rsid w:val="004B10AD"/>
    <w:rsid w:val="004B44A2"/>
    <w:rsid w:val="004B52D3"/>
    <w:rsid w:val="004B56CF"/>
    <w:rsid w:val="004C4574"/>
    <w:rsid w:val="004D2FF7"/>
    <w:rsid w:val="004D54E8"/>
    <w:rsid w:val="004E2B72"/>
    <w:rsid w:val="004E2F39"/>
    <w:rsid w:val="004E3472"/>
    <w:rsid w:val="004E70DD"/>
    <w:rsid w:val="004F1337"/>
    <w:rsid w:val="004F4340"/>
    <w:rsid w:val="004F61BD"/>
    <w:rsid w:val="004F7122"/>
    <w:rsid w:val="005030D0"/>
    <w:rsid w:val="00505788"/>
    <w:rsid w:val="005075E1"/>
    <w:rsid w:val="005138ED"/>
    <w:rsid w:val="005212AB"/>
    <w:rsid w:val="00522315"/>
    <w:rsid w:val="0052244E"/>
    <w:rsid w:val="00522CFC"/>
    <w:rsid w:val="005237C6"/>
    <w:rsid w:val="00523DA2"/>
    <w:rsid w:val="00526EFC"/>
    <w:rsid w:val="00531234"/>
    <w:rsid w:val="00540414"/>
    <w:rsid w:val="00545851"/>
    <w:rsid w:val="0054748D"/>
    <w:rsid w:val="0055039E"/>
    <w:rsid w:val="00551487"/>
    <w:rsid w:val="005604F4"/>
    <w:rsid w:val="005617C9"/>
    <w:rsid w:val="005665A1"/>
    <w:rsid w:val="0057193B"/>
    <w:rsid w:val="00575926"/>
    <w:rsid w:val="00575AD6"/>
    <w:rsid w:val="00586829"/>
    <w:rsid w:val="0059008D"/>
    <w:rsid w:val="00597FDB"/>
    <w:rsid w:val="005A0616"/>
    <w:rsid w:val="005A779F"/>
    <w:rsid w:val="005A7FDC"/>
    <w:rsid w:val="005B279A"/>
    <w:rsid w:val="005B708C"/>
    <w:rsid w:val="005C13F0"/>
    <w:rsid w:val="005C2422"/>
    <w:rsid w:val="005C354C"/>
    <w:rsid w:val="005C415B"/>
    <w:rsid w:val="005C7E8E"/>
    <w:rsid w:val="005D071D"/>
    <w:rsid w:val="005E4EF6"/>
    <w:rsid w:val="0060405A"/>
    <w:rsid w:val="00604B06"/>
    <w:rsid w:val="006051D2"/>
    <w:rsid w:val="00610EFD"/>
    <w:rsid w:val="00613CCF"/>
    <w:rsid w:val="006234CE"/>
    <w:rsid w:val="0062388E"/>
    <w:rsid w:val="00631010"/>
    <w:rsid w:val="00631D96"/>
    <w:rsid w:val="00640794"/>
    <w:rsid w:val="0064116D"/>
    <w:rsid w:val="006513B7"/>
    <w:rsid w:val="00654B5F"/>
    <w:rsid w:val="00661F1B"/>
    <w:rsid w:val="00661F37"/>
    <w:rsid w:val="00665428"/>
    <w:rsid w:val="006659CE"/>
    <w:rsid w:val="00665D53"/>
    <w:rsid w:val="006707C8"/>
    <w:rsid w:val="00672F96"/>
    <w:rsid w:val="006739A5"/>
    <w:rsid w:val="0067574A"/>
    <w:rsid w:val="006766F0"/>
    <w:rsid w:val="00676C1D"/>
    <w:rsid w:val="006803B8"/>
    <w:rsid w:val="00683C0C"/>
    <w:rsid w:val="00686E60"/>
    <w:rsid w:val="00687259"/>
    <w:rsid w:val="006917B4"/>
    <w:rsid w:val="00693415"/>
    <w:rsid w:val="00694EC4"/>
    <w:rsid w:val="006A1786"/>
    <w:rsid w:val="006A29A3"/>
    <w:rsid w:val="006A2BC2"/>
    <w:rsid w:val="006A56EA"/>
    <w:rsid w:val="006A74A9"/>
    <w:rsid w:val="006B123D"/>
    <w:rsid w:val="006B1E04"/>
    <w:rsid w:val="006B1FF2"/>
    <w:rsid w:val="006B39F8"/>
    <w:rsid w:val="006B4E37"/>
    <w:rsid w:val="006C162E"/>
    <w:rsid w:val="006C1A25"/>
    <w:rsid w:val="006C3B6D"/>
    <w:rsid w:val="006C5120"/>
    <w:rsid w:val="006C628C"/>
    <w:rsid w:val="006D6C8F"/>
    <w:rsid w:val="006E0AD5"/>
    <w:rsid w:val="006E11F7"/>
    <w:rsid w:val="006E19A7"/>
    <w:rsid w:val="006E1C55"/>
    <w:rsid w:val="006E6608"/>
    <w:rsid w:val="006E6638"/>
    <w:rsid w:val="006F54B3"/>
    <w:rsid w:val="007039EF"/>
    <w:rsid w:val="00705913"/>
    <w:rsid w:val="00707E0A"/>
    <w:rsid w:val="0071147F"/>
    <w:rsid w:val="00716C21"/>
    <w:rsid w:val="00731952"/>
    <w:rsid w:val="00732568"/>
    <w:rsid w:val="00746CE8"/>
    <w:rsid w:val="00760979"/>
    <w:rsid w:val="007635EC"/>
    <w:rsid w:val="0076425C"/>
    <w:rsid w:val="007650B5"/>
    <w:rsid w:val="00765347"/>
    <w:rsid w:val="00773F0F"/>
    <w:rsid w:val="007740A5"/>
    <w:rsid w:val="007774A0"/>
    <w:rsid w:val="00783650"/>
    <w:rsid w:val="007901A1"/>
    <w:rsid w:val="0079612F"/>
    <w:rsid w:val="00796B4E"/>
    <w:rsid w:val="00797DCA"/>
    <w:rsid w:val="007A2002"/>
    <w:rsid w:val="007A485E"/>
    <w:rsid w:val="007A6534"/>
    <w:rsid w:val="007B3EBF"/>
    <w:rsid w:val="007B68BA"/>
    <w:rsid w:val="007B79DA"/>
    <w:rsid w:val="007C0474"/>
    <w:rsid w:val="007C2367"/>
    <w:rsid w:val="007C4B35"/>
    <w:rsid w:val="007C4F98"/>
    <w:rsid w:val="007C6D77"/>
    <w:rsid w:val="007C7785"/>
    <w:rsid w:val="007D3909"/>
    <w:rsid w:val="007D64A5"/>
    <w:rsid w:val="007D7CEC"/>
    <w:rsid w:val="007E05E5"/>
    <w:rsid w:val="007E099C"/>
    <w:rsid w:val="007E4A02"/>
    <w:rsid w:val="007E5BF4"/>
    <w:rsid w:val="007E6456"/>
    <w:rsid w:val="007E78E9"/>
    <w:rsid w:val="007F6F5E"/>
    <w:rsid w:val="007F7162"/>
    <w:rsid w:val="00803681"/>
    <w:rsid w:val="00804A01"/>
    <w:rsid w:val="0080571D"/>
    <w:rsid w:val="0080658B"/>
    <w:rsid w:val="00806BD1"/>
    <w:rsid w:val="00807A5B"/>
    <w:rsid w:val="00814576"/>
    <w:rsid w:val="0081769B"/>
    <w:rsid w:val="00817DA5"/>
    <w:rsid w:val="00817FAF"/>
    <w:rsid w:val="00821447"/>
    <w:rsid w:val="00823ED8"/>
    <w:rsid w:val="0082429F"/>
    <w:rsid w:val="008278ED"/>
    <w:rsid w:val="00833610"/>
    <w:rsid w:val="00842245"/>
    <w:rsid w:val="00843F3A"/>
    <w:rsid w:val="00847510"/>
    <w:rsid w:val="00850369"/>
    <w:rsid w:val="008524B5"/>
    <w:rsid w:val="00852DC6"/>
    <w:rsid w:val="00853E3D"/>
    <w:rsid w:val="008543F0"/>
    <w:rsid w:val="00854A13"/>
    <w:rsid w:val="00855B95"/>
    <w:rsid w:val="0086358A"/>
    <w:rsid w:val="0086396C"/>
    <w:rsid w:val="00870D21"/>
    <w:rsid w:val="00874AA4"/>
    <w:rsid w:val="008801C0"/>
    <w:rsid w:val="00880E65"/>
    <w:rsid w:val="008A04ED"/>
    <w:rsid w:val="008A0B75"/>
    <w:rsid w:val="008A26BF"/>
    <w:rsid w:val="008A4F6C"/>
    <w:rsid w:val="008B7D82"/>
    <w:rsid w:val="008C301C"/>
    <w:rsid w:val="008C4B4E"/>
    <w:rsid w:val="008C7D44"/>
    <w:rsid w:val="008D0721"/>
    <w:rsid w:val="008D2DBD"/>
    <w:rsid w:val="008D38A5"/>
    <w:rsid w:val="008D3C10"/>
    <w:rsid w:val="008E0EA3"/>
    <w:rsid w:val="008E10F0"/>
    <w:rsid w:val="008E4ABF"/>
    <w:rsid w:val="008E714F"/>
    <w:rsid w:val="008F5DA1"/>
    <w:rsid w:val="008F696F"/>
    <w:rsid w:val="009016EC"/>
    <w:rsid w:val="009026B5"/>
    <w:rsid w:val="00915EB2"/>
    <w:rsid w:val="00920B9B"/>
    <w:rsid w:val="00921760"/>
    <w:rsid w:val="009223F6"/>
    <w:rsid w:val="00924F7A"/>
    <w:rsid w:val="00927A7B"/>
    <w:rsid w:val="0093023D"/>
    <w:rsid w:val="009479F2"/>
    <w:rsid w:val="0095033D"/>
    <w:rsid w:val="0095205C"/>
    <w:rsid w:val="00954648"/>
    <w:rsid w:val="00955C73"/>
    <w:rsid w:val="00956682"/>
    <w:rsid w:val="009572A4"/>
    <w:rsid w:val="00960A67"/>
    <w:rsid w:val="009641F9"/>
    <w:rsid w:val="009656DB"/>
    <w:rsid w:val="00967E3B"/>
    <w:rsid w:val="00976B48"/>
    <w:rsid w:val="0098088A"/>
    <w:rsid w:val="00984836"/>
    <w:rsid w:val="0098494F"/>
    <w:rsid w:val="00990321"/>
    <w:rsid w:val="009B0C4E"/>
    <w:rsid w:val="009B3AE2"/>
    <w:rsid w:val="009B5A5D"/>
    <w:rsid w:val="009B75D4"/>
    <w:rsid w:val="009B7A91"/>
    <w:rsid w:val="009B7DE3"/>
    <w:rsid w:val="009B7FF2"/>
    <w:rsid w:val="009C0FE7"/>
    <w:rsid w:val="009C2C20"/>
    <w:rsid w:val="009C77E9"/>
    <w:rsid w:val="009D1662"/>
    <w:rsid w:val="009D5672"/>
    <w:rsid w:val="009E016F"/>
    <w:rsid w:val="009E0A08"/>
    <w:rsid w:val="009E15DE"/>
    <w:rsid w:val="009E4E7F"/>
    <w:rsid w:val="009E532C"/>
    <w:rsid w:val="009F1BBB"/>
    <w:rsid w:val="009F6E62"/>
    <w:rsid w:val="00A03C65"/>
    <w:rsid w:val="00A10163"/>
    <w:rsid w:val="00A112DE"/>
    <w:rsid w:val="00A12F41"/>
    <w:rsid w:val="00A14232"/>
    <w:rsid w:val="00A1596D"/>
    <w:rsid w:val="00A16865"/>
    <w:rsid w:val="00A16C06"/>
    <w:rsid w:val="00A201CC"/>
    <w:rsid w:val="00A256B6"/>
    <w:rsid w:val="00A27736"/>
    <w:rsid w:val="00A37C03"/>
    <w:rsid w:val="00A448A8"/>
    <w:rsid w:val="00A45D91"/>
    <w:rsid w:val="00A51B62"/>
    <w:rsid w:val="00A6146E"/>
    <w:rsid w:val="00A62A8B"/>
    <w:rsid w:val="00A70FF7"/>
    <w:rsid w:val="00A71538"/>
    <w:rsid w:val="00A71AB2"/>
    <w:rsid w:val="00A72841"/>
    <w:rsid w:val="00A72DA7"/>
    <w:rsid w:val="00A90F22"/>
    <w:rsid w:val="00A91162"/>
    <w:rsid w:val="00A9162F"/>
    <w:rsid w:val="00A964C5"/>
    <w:rsid w:val="00A97886"/>
    <w:rsid w:val="00AA4645"/>
    <w:rsid w:val="00AA551E"/>
    <w:rsid w:val="00AB12A3"/>
    <w:rsid w:val="00AB4ECA"/>
    <w:rsid w:val="00AC1D2B"/>
    <w:rsid w:val="00AC25E0"/>
    <w:rsid w:val="00AD15EB"/>
    <w:rsid w:val="00AD18C1"/>
    <w:rsid w:val="00AD4216"/>
    <w:rsid w:val="00AD54EF"/>
    <w:rsid w:val="00AE1F1C"/>
    <w:rsid w:val="00AE3DEB"/>
    <w:rsid w:val="00AE5913"/>
    <w:rsid w:val="00AE5D3B"/>
    <w:rsid w:val="00AF00BB"/>
    <w:rsid w:val="00AF3B40"/>
    <w:rsid w:val="00AF4B41"/>
    <w:rsid w:val="00B01159"/>
    <w:rsid w:val="00B012DE"/>
    <w:rsid w:val="00B05442"/>
    <w:rsid w:val="00B10D0A"/>
    <w:rsid w:val="00B12C0E"/>
    <w:rsid w:val="00B21CBF"/>
    <w:rsid w:val="00B22D6C"/>
    <w:rsid w:val="00B338EB"/>
    <w:rsid w:val="00B3636B"/>
    <w:rsid w:val="00B3783E"/>
    <w:rsid w:val="00B400AB"/>
    <w:rsid w:val="00B4358D"/>
    <w:rsid w:val="00B4481B"/>
    <w:rsid w:val="00B479F9"/>
    <w:rsid w:val="00B47B1D"/>
    <w:rsid w:val="00B5273F"/>
    <w:rsid w:val="00B52BA1"/>
    <w:rsid w:val="00B541F4"/>
    <w:rsid w:val="00B6029E"/>
    <w:rsid w:val="00B6060C"/>
    <w:rsid w:val="00B6316D"/>
    <w:rsid w:val="00B64CAF"/>
    <w:rsid w:val="00B71E48"/>
    <w:rsid w:val="00B737BE"/>
    <w:rsid w:val="00B73D51"/>
    <w:rsid w:val="00B75CA7"/>
    <w:rsid w:val="00B8473A"/>
    <w:rsid w:val="00B85DCE"/>
    <w:rsid w:val="00B85E97"/>
    <w:rsid w:val="00B91522"/>
    <w:rsid w:val="00B91C2E"/>
    <w:rsid w:val="00B96279"/>
    <w:rsid w:val="00BA3781"/>
    <w:rsid w:val="00BA64BB"/>
    <w:rsid w:val="00BB2409"/>
    <w:rsid w:val="00BB42D5"/>
    <w:rsid w:val="00BB77E3"/>
    <w:rsid w:val="00BC3415"/>
    <w:rsid w:val="00BC5220"/>
    <w:rsid w:val="00BC5405"/>
    <w:rsid w:val="00BC7726"/>
    <w:rsid w:val="00BD05EF"/>
    <w:rsid w:val="00BD2BA4"/>
    <w:rsid w:val="00BE712D"/>
    <w:rsid w:val="00BF2A86"/>
    <w:rsid w:val="00BF50BD"/>
    <w:rsid w:val="00BF53EC"/>
    <w:rsid w:val="00BF6558"/>
    <w:rsid w:val="00C00848"/>
    <w:rsid w:val="00C027A6"/>
    <w:rsid w:val="00C02B67"/>
    <w:rsid w:val="00C110B1"/>
    <w:rsid w:val="00C14A90"/>
    <w:rsid w:val="00C20210"/>
    <w:rsid w:val="00C32427"/>
    <w:rsid w:val="00C34C53"/>
    <w:rsid w:val="00C422F3"/>
    <w:rsid w:val="00C46F55"/>
    <w:rsid w:val="00C52237"/>
    <w:rsid w:val="00C61431"/>
    <w:rsid w:val="00C61684"/>
    <w:rsid w:val="00C744C1"/>
    <w:rsid w:val="00C80226"/>
    <w:rsid w:val="00C8048B"/>
    <w:rsid w:val="00C81C49"/>
    <w:rsid w:val="00C82497"/>
    <w:rsid w:val="00C86B82"/>
    <w:rsid w:val="00C87754"/>
    <w:rsid w:val="00C87989"/>
    <w:rsid w:val="00C9269A"/>
    <w:rsid w:val="00C940F4"/>
    <w:rsid w:val="00CA339D"/>
    <w:rsid w:val="00CA4A6F"/>
    <w:rsid w:val="00CA5690"/>
    <w:rsid w:val="00CA76A6"/>
    <w:rsid w:val="00CB3204"/>
    <w:rsid w:val="00CB6AF2"/>
    <w:rsid w:val="00CC027D"/>
    <w:rsid w:val="00CC07E1"/>
    <w:rsid w:val="00CC2232"/>
    <w:rsid w:val="00CC41FD"/>
    <w:rsid w:val="00CC7083"/>
    <w:rsid w:val="00CD4996"/>
    <w:rsid w:val="00CD519E"/>
    <w:rsid w:val="00CD67D2"/>
    <w:rsid w:val="00CE504E"/>
    <w:rsid w:val="00CE69C1"/>
    <w:rsid w:val="00CF1B48"/>
    <w:rsid w:val="00CF230E"/>
    <w:rsid w:val="00CF264F"/>
    <w:rsid w:val="00CF3409"/>
    <w:rsid w:val="00CF7E62"/>
    <w:rsid w:val="00D042C2"/>
    <w:rsid w:val="00D066B4"/>
    <w:rsid w:val="00D06DC7"/>
    <w:rsid w:val="00D07D4E"/>
    <w:rsid w:val="00D1035E"/>
    <w:rsid w:val="00D15DC3"/>
    <w:rsid w:val="00D172F0"/>
    <w:rsid w:val="00D24DA5"/>
    <w:rsid w:val="00D25446"/>
    <w:rsid w:val="00D27E14"/>
    <w:rsid w:val="00D341E3"/>
    <w:rsid w:val="00D35608"/>
    <w:rsid w:val="00D36055"/>
    <w:rsid w:val="00D523ED"/>
    <w:rsid w:val="00D67501"/>
    <w:rsid w:val="00D71459"/>
    <w:rsid w:val="00D741C3"/>
    <w:rsid w:val="00D74A91"/>
    <w:rsid w:val="00D76011"/>
    <w:rsid w:val="00D76B62"/>
    <w:rsid w:val="00D807A2"/>
    <w:rsid w:val="00D879BC"/>
    <w:rsid w:val="00D9292A"/>
    <w:rsid w:val="00D96B66"/>
    <w:rsid w:val="00D97DEE"/>
    <w:rsid w:val="00DA66DF"/>
    <w:rsid w:val="00DB3405"/>
    <w:rsid w:val="00DB71B8"/>
    <w:rsid w:val="00DC49EA"/>
    <w:rsid w:val="00DD22BA"/>
    <w:rsid w:val="00DE278D"/>
    <w:rsid w:val="00DE4062"/>
    <w:rsid w:val="00DE4809"/>
    <w:rsid w:val="00DE73D7"/>
    <w:rsid w:val="00DE7DA8"/>
    <w:rsid w:val="00DF3B73"/>
    <w:rsid w:val="00DF4BF1"/>
    <w:rsid w:val="00DF5D47"/>
    <w:rsid w:val="00DF6BF1"/>
    <w:rsid w:val="00E003F1"/>
    <w:rsid w:val="00E16109"/>
    <w:rsid w:val="00E16308"/>
    <w:rsid w:val="00E208C1"/>
    <w:rsid w:val="00E251DC"/>
    <w:rsid w:val="00E40278"/>
    <w:rsid w:val="00E40A19"/>
    <w:rsid w:val="00E4614C"/>
    <w:rsid w:val="00E474B6"/>
    <w:rsid w:val="00E509DE"/>
    <w:rsid w:val="00E543FB"/>
    <w:rsid w:val="00E56175"/>
    <w:rsid w:val="00E6023C"/>
    <w:rsid w:val="00E61690"/>
    <w:rsid w:val="00E64112"/>
    <w:rsid w:val="00E74C80"/>
    <w:rsid w:val="00E76959"/>
    <w:rsid w:val="00E80C81"/>
    <w:rsid w:val="00E85A9B"/>
    <w:rsid w:val="00E9034B"/>
    <w:rsid w:val="00E90E19"/>
    <w:rsid w:val="00E92EE5"/>
    <w:rsid w:val="00E95534"/>
    <w:rsid w:val="00EA1829"/>
    <w:rsid w:val="00EA6001"/>
    <w:rsid w:val="00EA6C47"/>
    <w:rsid w:val="00EB3A4E"/>
    <w:rsid w:val="00EB6830"/>
    <w:rsid w:val="00EB7257"/>
    <w:rsid w:val="00EC0C28"/>
    <w:rsid w:val="00EC123E"/>
    <w:rsid w:val="00EC18D8"/>
    <w:rsid w:val="00ED1CD7"/>
    <w:rsid w:val="00ED1DFB"/>
    <w:rsid w:val="00ED3C8A"/>
    <w:rsid w:val="00EE0C1C"/>
    <w:rsid w:val="00EE43C9"/>
    <w:rsid w:val="00EE487F"/>
    <w:rsid w:val="00EF18D2"/>
    <w:rsid w:val="00EF2900"/>
    <w:rsid w:val="00F06966"/>
    <w:rsid w:val="00F117DF"/>
    <w:rsid w:val="00F156D3"/>
    <w:rsid w:val="00F16F8A"/>
    <w:rsid w:val="00F20E44"/>
    <w:rsid w:val="00F21545"/>
    <w:rsid w:val="00F23EA2"/>
    <w:rsid w:val="00F25131"/>
    <w:rsid w:val="00F275C6"/>
    <w:rsid w:val="00F32FD6"/>
    <w:rsid w:val="00F33BAE"/>
    <w:rsid w:val="00F34DD4"/>
    <w:rsid w:val="00F472FB"/>
    <w:rsid w:val="00F5466C"/>
    <w:rsid w:val="00F55C57"/>
    <w:rsid w:val="00F57756"/>
    <w:rsid w:val="00F62845"/>
    <w:rsid w:val="00F634D9"/>
    <w:rsid w:val="00F637CB"/>
    <w:rsid w:val="00F63B0C"/>
    <w:rsid w:val="00F75F6C"/>
    <w:rsid w:val="00F80BAF"/>
    <w:rsid w:val="00F8118A"/>
    <w:rsid w:val="00F85FDC"/>
    <w:rsid w:val="00F87F83"/>
    <w:rsid w:val="00F936E1"/>
    <w:rsid w:val="00F95E28"/>
    <w:rsid w:val="00FA183E"/>
    <w:rsid w:val="00FA5736"/>
    <w:rsid w:val="00FA7CE8"/>
    <w:rsid w:val="00FC1A90"/>
    <w:rsid w:val="00FC1DAE"/>
    <w:rsid w:val="00FC2970"/>
    <w:rsid w:val="00FC2CA3"/>
    <w:rsid w:val="00FC32E2"/>
    <w:rsid w:val="00FD39E2"/>
    <w:rsid w:val="00FD3F87"/>
    <w:rsid w:val="00FD5ACA"/>
    <w:rsid w:val="00FE0253"/>
    <w:rsid w:val="00FE2498"/>
    <w:rsid w:val="00FE5172"/>
    <w:rsid w:val="00FE5FBA"/>
    <w:rsid w:val="00FE6071"/>
    <w:rsid w:val="00FE6AA2"/>
    <w:rsid w:val="00FF22A2"/>
    <w:rsid w:val="00FF32D5"/>
    <w:rsid w:val="00FF5F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C9156"/>
  <w15:docId w15:val="{5DE4572F-8541-49F7-88C6-2AD28712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769B"/>
    <w:pPr>
      <w:tabs>
        <w:tab w:val="left" w:pos="284"/>
        <w:tab w:val="left" w:pos="567"/>
        <w:tab w:val="left" w:pos="851"/>
        <w:tab w:val="left" w:pos="1134"/>
        <w:tab w:val="left" w:pos="1418"/>
        <w:tab w:val="right" w:pos="9072"/>
      </w:tabs>
      <w:spacing w:after="80"/>
    </w:pPr>
    <w:rPr>
      <w:rFonts w:ascii="Arial" w:hAnsi="Arial"/>
    </w:rPr>
  </w:style>
  <w:style w:type="paragraph" w:styleId="Nadpis1">
    <w:name w:val="heading 1"/>
    <w:basedOn w:val="Normln"/>
    <w:next w:val="Zkladntext"/>
    <w:qFormat/>
    <w:rsid w:val="00145E34"/>
    <w:pPr>
      <w:keepNext/>
      <w:numPr>
        <w:numId w:val="8"/>
      </w:numPr>
      <w:spacing w:before="320" w:after="200"/>
      <w:outlineLvl w:val="0"/>
    </w:pPr>
    <w:rPr>
      <w:b/>
      <w:kern w:val="28"/>
      <w:sz w:val="32"/>
    </w:rPr>
  </w:style>
  <w:style w:type="paragraph" w:styleId="Nadpis2">
    <w:name w:val="heading 2"/>
    <w:basedOn w:val="Normln"/>
    <w:next w:val="Zkladntext"/>
    <w:link w:val="Nadpis2Char"/>
    <w:qFormat/>
    <w:rsid w:val="00145E34"/>
    <w:pPr>
      <w:keepNext/>
      <w:numPr>
        <w:ilvl w:val="1"/>
        <w:numId w:val="8"/>
      </w:numPr>
      <w:spacing w:before="280" w:after="160"/>
      <w:outlineLvl w:val="1"/>
    </w:pPr>
    <w:rPr>
      <w:b/>
      <w:i/>
      <w:kern w:val="28"/>
      <w:sz w:val="28"/>
    </w:rPr>
  </w:style>
  <w:style w:type="paragraph" w:styleId="Nadpis3">
    <w:name w:val="heading 3"/>
    <w:basedOn w:val="Normln"/>
    <w:next w:val="Zkladntext"/>
    <w:qFormat/>
    <w:rsid w:val="00145E34"/>
    <w:pPr>
      <w:keepNext/>
      <w:numPr>
        <w:ilvl w:val="2"/>
        <w:numId w:val="8"/>
      </w:numPr>
      <w:spacing w:before="240" w:after="120"/>
      <w:outlineLvl w:val="2"/>
    </w:pPr>
    <w:rPr>
      <w:b/>
      <w:kern w:val="28"/>
      <w:sz w:val="24"/>
    </w:rPr>
  </w:style>
  <w:style w:type="paragraph" w:styleId="Nadpis4">
    <w:name w:val="heading 4"/>
    <w:basedOn w:val="Normln"/>
    <w:next w:val="Zkladntext"/>
    <w:qFormat/>
    <w:rsid w:val="00145E34"/>
    <w:pPr>
      <w:keepNext/>
      <w:numPr>
        <w:ilvl w:val="3"/>
        <w:numId w:val="8"/>
      </w:numPr>
      <w:spacing w:before="160" w:after="120"/>
      <w:outlineLvl w:val="3"/>
    </w:pPr>
    <w:rPr>
      <w:b/>
      <w:i/>
      <w:kern w:val="28"/>
    </w:rPr>
  </w:style>
  <w:style w:type="paragraph" w:styleId="Nadpis5">
    <w:name w:val="heading 5"/>
    <w:basedOn w:val="Normln"/>
    <w:next w:val="Zkladntext"/>
    <w:qFormat/>
    <w:rsid w:val="00145E34"/>
    <w:pPr>
      <w:keepNext/>
      <w:numPr>
        <w:ilvl w:val="4"/>
        <w:numId w:val="8"/>
      </w:numPr>
      <w:spacing w:before="160" w:after="120"/>
      <w:outlineLvl w:val="4"/>
    </w:pPr>
    <w:rPr>
      <w:b/>
      <w:i/>
      <w:kern w:val="28"/>
    </w:rPr>
  </w:style>
  <w:style w:type="paragraph" w:styleId="Nadpis6">
    <w:name w:val="heading 6"/>
    <w:basedOn w:val="Normln"/>
    <w:next w:val="Zkladntext"/>
    <w:qFormat/>
    <w:rsid w:val="00145E34"/>
    <w:pPr>
      <w:keepNext/>
      <w:numPr>
        <w:ilvl w:val="5"/>
        <w:numId w:val="8"/>
      </w:numPr>
      <w:spacing w:before="160" w:after="120"/>
      <w:outlineLvl w:val="5"/>
    </w:pPr>
    <w:rPr>
      <w:b/>
      <w:i/>
      <w:kern w:val="28"/>
    </w:rPr>
  </w:style>
  <w:style w:type="paragraph" w:styleId="Nadpis7">
    <w:name w:val="heading 7"/>
    <w:basedOn w:val="Zkladntext"/>
    <w:next w:val="Zkladntext"/>
    <w:rsid w:val="00145E34"/>
    <w:pPr>
      <w:keepNext/>
      <w:numPr>
        <w:ilvl w:val="6"/>
        <w:numId w:val="8"/>
      </w:numPr>
      <w:spacing w:before="80" w:after="60"/>
      <w:outlineLvl w:val="6"/>
    </w:pPr>
    <w:rPr>
      <w:b/>
      <w:kern w:val="28"/>
    </w:rPr>
  </w:style>
  <w:style w:type="paragraph" w:styleId="Nadpis8">
    <w:name w:val="heading 8"/>
    <w:basedOn w:val="Normln"/>
    <w:next w:val="Zkladntext"/>
    <w:rsid w:val="00145E34"/>
    <w:pPr>
      <w:keepNext/>
      <w:numPr>
        <w:ilvl w:val="7"/>
        <w:numId w:val="8"/>
      </w:numPr>
      <w:spacing w:before="80" w:after="60"/>
      <w:outlineLvl w:val="7"/>
    </w:pPr>
    <w:rPr>
      <w:b/>
      <w:i/>
      <w:kern w:val="28"/>
    </w:rPr>
  </w:style>
  <w:style w:type="paragraph" w:styleId="Nadpis9">
    <w:name w:val="heading 9"/>
    <w:basedOn w:val="Normln"/>
    <w:next w:val="Zkladntext"/>
    <w:rsid w:val="00145E34"/>
    <w:pPr>
      <w:keepNext/>
      <w:numPr>
        <w:ilvl w:val="8"/>
        <w:numId w:val="8"/>
      </w:numPr>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145E34"/>
  </w:style>
  <w:style w:type="character" w:customStyle="1" w:styleId="d-drazn">
    <w:name w:val="d-důrazně"/>
    <w:basedOn w:val="Standardnpsmoodstavce"/>
    <w:uiPriority w:val="1"/>
    <w:qFormat/>
    <w:rsid w:val="00145E34"/>
    <w:rPr>
      <w:i/>
      <w:spacing w:val="8"/>
    </w:rPr>
  </w:style>
  <w:style w:type="character" w:styleId="Znakapoznpodarou">
    <w:name w:val="footnote reference"/>
    <w:basedOn w:val="Standardnpsmoodstavce"/>
    <w:semiHidden/>
    <w:rsid w:val="00145E34"/>
    <w:rPr>
      <w:vertAlign w:val="superscript"/>
    </w:rPr>
  </w:style>
  <w:style w:type="paragraph" w:customStyle="1" w:styleId="p-pklad">
    <w:name w:val="p-příklad"/>
    <w:basedOn w:val="Zkladntext"/>
    <w:qFormat/>
    <w:rsid w:val="00145E34"/>
    <w:rPr>
      <w:i/>
    </w:rPr>
  </w:style>
  <w:style w:type="paragraph" w:customStyle="1" w:styleId="Seznam">
    <w:name w:val="Seznam &quot;.&quot;"/>
    <w:basedOn w:val="Seznamo"/>
    <w:rsid w:val="00145E34"/>
    <w:pPr>
      <w:ind w:left="568"/>
    </w:pPr>
  </w:style>
  <w:style w:type="paragraph" w:customStyle="1" w:styleId="Seznamo">
    <w:name w:val="Seznam &quot;o&quot;"/>
    <w:basedOn w:val="Normln"/>
    <w:rsid w:val="00145E34"/>
    <w:pPr>
      <w:spacing w:after="40"/>
      <w:ind w:left="851" w:hanging="284"/>
    </w:pPr>
  </w:style>
  <w:style w:type="paragraph" w:customStyle="1" w:styleId="Seznama">
    <w:name w:val="Seznam (a)"/>
    <w:basedOn w:val="Normln"/>
    <w:rsid w:val="00145E34"/>
    <w:pPr>
      <w:tabs>
        <w:tab w:val="left" w:pos="720"/>
      </w:tabs>
      <w:spacing w:after="40"/>
      <w:ind w:left="681" w:hanging="397"/>
    </w:pPr>
  </w:style>
  <w:style w:type="paragraph" w:styleId="slovanseznam">
    <w:name w:val="List Number"/>
    <w:aliases w:val="1"/>
    <w:basedOn w:val="Normln"/>
    <w:semiHidden/>
    <w:rsid w:val="00145E34"/>
    <w:pPr>
      <w:spacing w:before="20" w:after="100"/>
      <w:ind w:left="567" w:hanging="283"/>
    </w:pPr>
  </w:style>
  <w:style w:type="paragraph" w:styleId="Textpoznpodarou">
    <w:name w:val="footnote text"/>
    <w:basedOn w:val="Normln"/>
    <w:link w:val="TextpoznpodarouChar"/>
    <w:semiHidden/>
    <w:rsid w:val="00145E34"/>
    <w:pPr>
      <w:tabs>
        <w:tab w:val="left" w:pos="187"/>
      </w:tabs>
      <w:spacing w:after="120" w:line="220" w:lineRule="exact"/>
      <w:ind w:left="187" w:hanging="187"/>
    </w:pPr>
    <w:rPr>
      <w:sz w:val="18"/>
    </w:rPr>
  </w:style>
  <w:style w:type="paragraph" w:styleId="Rejstk1">
    <w:name w:val="index 1"/>
    <w:basedOn w:val="Normln"/>
    <w:semiHidden/>
    <w:rsid w:val="00145E34"/>
    <w:pPr>
      <w:tabs>
        <w:tab w:val="right" w:leader="dot" w:pos="3960"/>
      </w:tabs>
      <w:ind w:left="720" w:hanging="720"/>
    </w:pPr>
  </w:style>
  <w:style w:type="paragraph" w:styleId="Rejstk2">
    <w:name w:val="index 2"/>
    <w:basedOn w:val="Normln"/>
    <w:semiHidden/>
    <w:rsid w:val="00145E34"/>
    <w:pPr>
      <w:tabs>
        <w:tab w:val="right" w:leader="dot" w:pos="3960"/>
      </w:tabs>
      <w:ind w:left="1080" w:hanging="720"/>
    </w:pPr>
  </w:style>
  <w:style w:type="paragraph" w:styleId="Rejstk3">
    <w:name w:val="index 3"/>
    <w:basedOn w:val="Normln"/>
    <w:semiHidden/>
    <w:rsid w:val="00145E34"/>
    <w:pPr>
      <w:tabs>
        <w:tab w:val="right" w:leader="dot" w:pos="3960"/>
      </w:tabs>
      <w:ind w:left="1440" w:hanging="720"/>
    </w:pPr>
  </w:style>
  <w:style w:type="paragraph" w:styleId="Rejstk4">
    <w:name w:val="index 4"/>
    <w:basedOn w:val="Normln"/>
    <w:semiHidden/>
    <w:rsid w:val="00145E34"/>
    <w:pPr>
      <w:tabs>
        <w:tab w:val="right" w:leader="dot" w:pos="3960"/>
      </w:tabs>
      <w:ind w:left="1800" w:hanging="720"/>
    </w:pPr>
  </w:style>
  <w:style w:type="paragraph" w:styleId="Rejstk5">
    <w:name w:val="index 5"/>
    <w:basedOn w:val="Normln"/>
    <w:semiHidden/>
    <w:rsid w:val="00145E34"/>
    <w:pPr>
      <w:tabs>
        <w:tab w:val="right" w:leader="dot" w:pos="3960"/>
      </w:tabs>
      <w:ind w:left="2160" w:hanging="720"/>
    </w:pPr>
  </w:style>
  <w:style w:type="paragraph" w:styleId="Rejstk6">
    <w:name w:val="index 6"/>
    <w:basedOn w:val="Normln"/>
    <w:semiHidden/>
    <w:rsid w:val="00145E34"/>
    <w:pPr>
      <w:tabs>
        <w:tab w:val="right" w:leader="dot" w:pos="3960"/>
      </w:tabs>
      <w:ind w:left="1800" w:hanging="720"/>
    </w:pPr>
  </w:style>
  <w:style w:type="paragraph" w:styleId="Rejstk7">
    <w:name w:val="index 7"/>
    <w:basedOn w:val="Normln"/>
    <w:semiHidden/>
    <w:rsid w:val="00145E34"/>
    <w:pPr>
      <w:tabs>
        <w:tab w:val="right" w:leader="dot" w:pos="3960"/>
      </w:tabs>
      <w:ind w:left="2160" w:hanging="720"/>
    </w:pPr>
  </w:style>
  <w:style w:type="paragraph" w:styleId="Rejstk8">
    <w:name w:val="index 8"/>
    <w:basedOn w:val="Normln"/>
    <w:semiHidden/>
    <w:rsid w:val="00145E34"/>
    <w:pPr>
      <w:tabs>
        <w:tab w:val="right" w:leader="dot" w:pos="3960"/>
      </w:tabs>
      <w:ind w:left="2520" w:hanging="720"/>
    </w:pPr>
  </w:style>
  <w:style w:type="paragraph" w:styleId="Rejstk9">
    <w:name w:val="index 9"/>
    <w:basedOn w:val="Normln"/>
    <w:semiHidden/>
    <w:rsid w:val="00145E34"/>
    <w:pPr>
      <w:tabs>
        <w:tab w:val="right" w:leader="dot" w:pos="3960"/>
      </w:tabs>
      <w:ind w:left="2880" w:hanging="720"/>
    </w:pPr>
  </w:style>
  <w:style w:type="paragraph" w:styleId="Nzev">
    <w:name w:val="Title"/>
    <w:basedOn w:val="Normln"/>
    <w:qFormat/>
    <w:rsid w:val="00145E34"/>
    <w:pPr>
      <w:spacing w:before="240" w:after="60"/>
      <w:jc w:val="center"/>
    </w:pPr>
    <w:rPr>
      <w:b/>
      <w:kern w:val="28"/>
      <w:sz w:val="32"/>
    </w:rPr>
  </w:style>
  <w:style w:type="paragraph" w:styleId="Pokraovnseznamu">
    <w:name w:val="List Continue"/>
    <w:basedOn w:val="Normln"/>
    <w:semiHidden/>
    <w:rsid w:val="00145E34"/>
    <w:pPr>
      <w:spacing w:before="20" w:after="160"/>
      <w:ind w:left="681" w:hanging="397"/>
    </w:pPr>
  </w:style>
  <w:style w:type="paragraph" w:styleId="Pokraovnseznamu2">
    <w:name w:val="List Continue 2"/>
    <w:basedOn w:val="Pokraovnseznamu"/>
    <w:semiHidden/>
    <w:rsid w:val="00145E34"/>
    <w:pPr>
      <w:ind w:left="1080"/>
    </w:pPr>
  </w:style>
  <w:style w:type="paragraph" w:styleId="Pokraovnseznamu3">
    <w:name w:val="List Continue 3"/>
    <w:basedOn w:val="Pokraovnseznamu"/>
    <w:semiHidden/>
    <w:rsid w:val="00145E34"/>
    <w:pPr>
      <w:ind w:left="1440"/>
    </w:pPr>
  </w:style>
  <w:style w:type="paragraph" w:styleId="Pokraovnseznamu4">
    <w:name w:val="List Continue 4"/>
    <w:basedOn w:val="Pokraovnseznamu"/>
    <w:semiHidden/>
    <w:rsid w:val="00145E34"/>
    <w:pPr>
      <w:ind w:left="1800"/>
    </w:pPr>
  </w:style>
  <w:style w:type="paragraph" w:styleId="Pokraovnseznamu5">
    <w:name w:val="List Continue 5"/>
    <w:basedOn w:val="Pokraovnseznamu"/>
    <w:semiHidden/>
    <w:rsid w:val="00145E34"/>
    <w:pPr>
      <w:ind w:left="2160"/>
    </w:pPr>
  </w:style>
  <w:style w:type="paragraph" w:customStyle="1" w:styleId="O-Obrzekstextem">
    <w:name w:val="O-Obrázek s textem"/>
    <w:basedOn w:val="Zkladntext"/>
    <w:next w:val="Normln"/>
    <w:qFormat/>
    <w:rsid w:val="00145E34"/>
    <w:pPr>
      <w:keepNext/>
      <w:framePr w:hSpace="284" w:vSpace="284" w:wrap="notBeside" w:vAnchor="text" w:hAnchor="text" w:y="7"/>
    </w:pPr>
  </w:style>
  <w:style w:type="paragraph" w:styleId="Obsah1">
    <w:name w:val="toc 1"/>
    <w:basedOn w:val="Normln"/>
    <w:uiPriority w:val="39"/>
    <w:rsid w:val="00145E34"/>
    <w:pPr>
      <w:tabs>
        <w:tab w:val="right" w:leader="dot" w:pos="8640"/>
      </w:tabs>
      <w:spacing w:before="180" w:after="120"/>
    </w:pPr>
    <w:rPr>
      <w:b/>
      <w:sz w:val="24"/>
    </w:rPr>
  </w:style>
  <w:style w:type="paragraph" w:styleId="Obsah2">
    <w:name w:val="toc 2"/>
    <w:basedOn w:val="Normln"/>
    <w:uiPriority w:val="39"/>
    <w:rsid w:val="00145E34"/>
    <w:pPr>
      <w:tabs>
        <w:tab w:val="right" w:leader="dot" w:pos="8640"/>
      </w:tabs>
      <w:ind w:left="360"/>
    </w:pPr>
  </w:style>
  <w:style w:type="paragraph" w:styleId="Obsah3">
    <w:name w:val="toc 3"/>
    <w:basedOn w:val="Normln"/>
    <w:uiPriority w:val="39"/>
    <w:rsid w:val="00145E34"/>
    <w:pPr>
      <w:tabs>
        <w:tab w:val="right" w:leader="dot" w:pos="8640"/>
      </w:tabs>
      <w:ind w:left="720"/>
    </w:pPr>
  </w:style>
  <w:style w:type="paragraph" w:styleId="Obsah4">
    <w:name w:val="toc 4"/>
    <w:basedOn w:val="Normln"/>
    <w:semiHidden/>
    <w:rsid w:val="00145E34"/>
    <w:pPr>
      <w:tabs>
        <w:tab w:val="right" w:leader="dot" w:pos="8640"/>
      </w:tabs>
      <w:ind w:left="1080"/>
    </w:pPr>
  </w:style>
  <w:style w:type="paragraph" w:styleId="Zhlav">
    <w:name w:val="header"/>
    <w:basedOn w:val="Normln"/>
    <w:semiHidden/>
    <w:rsid w:val="00145E34"/>
    <w:pPr>
      <w:tabs>
        <w:tab w:val="center" w:pos="4536"/>
      </w:tabs>
    </w:pPr>
  </w:style>
  <w:style w:type="paragraph" w:styleId="Zpat">
    <w:name w:val="footer"/>
    <w:basedOn w:val="Normln"/>
    <w:semiHidden/>
    <w:rsid w:val="00145E34"/>
    <w:pPr>
      <w:tabs>
        <w:tab w:val="center" w:pos="4536"/>
      </w:tabs>
    </w:pPr>
  </w:style>
  <w:style w:type="paragraph" w:styleId="Zptenadresanaoblku">
    <w:name w:val="envelope return"/>
    <w:basedOn w:val="Normln"/>
    <w:semiHidden/>
    <w:rsid w:val="00145E34"/>
  </w:style>
  <w:style w:type="paragraph" w:styleId="Textmakra">
    <w:name w:val="macro"/>
    <w:semiHidden/>
    <w:rsid w:val="00145E34"/>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rPr>
  </w:style>
  <w:style w:type="paragraph" w:styleId="slovanseznam4">
    <w:name w:val="List Number 4"/>
    <w:basedOn w:val="Normln"/>
    <w:semiHidden/>
    <w:rsid w:val="00145E34"/>
    <w:pPr>
      <w:ind w:left="1132" w:hanging="283"/>
    </w:pPr>
  </w:style>
  <w:style w:type="paragraph" w:styleId="Seznam0">
    <w:name w:val="List"/>
    <w:basedOn w:val="Normln"/>
    <w:semiHidden/>
    <w:rsid w:val="00145E34"/>
    <w:pPr>
      <w:ind w:left="283" w:hanging="283"/>
    </w:pPr>
  </w:style>
  <w:style w:type="character" w:customStyle="1" w:styleId="tun">
    <w:name w:val="tučně"/>
    <w:basedOn w:val="Standardnpsmoodstavce"/>
    <w:rsid w:val="00145E34"/>
    <w:rPr>
      <w:b/>
    </w:rPr>
  </w:style>
  <w:style w:type="paragraph" w:customStyle="1" w:styleId="seznam-protabulku">
    <w:name w:val="seznam - pro tabulku"/>
    <w:basedOn w:val="Seznamsodrkami"/>
    <w:rsid w:val="00145E34"/>
    <w:pPr>
      <w:keepNext/>
      <w:tabs>
        <w:tab w:val="clear" w:pos="284"/>
        <w:tab w:val="clear" w:pos="567"/>
        <w:tab w:val="clear" w:pos="851"/>
        <w:tab w:val="clear" w:pos="1134"/>
        <w:tab w:val="clear" w:pos="1418"/>
        <w:tab w:val="clear" w:pos="9072"/>
      </w:tabs>
      <w:spacing w:after="0"/>
      <w:ind w:left="170" w:hanging="170"/>
    </w:pPr>
  </w:style>
  <w:style w:type="character" w:customStyle="1" w:styleId="Velk">
    <w:name w:val="Velké"/>
    <w:basedOn w:val="Standardnpsmoodstavce"/>
    <w:rsid w:val="00145E34"/>
    <w:rPr>
      <w:caps/>
    </w:rPr>
  </w:style>
  <w:style w:type="paragraph" w:customStyle="1" w:styleId="seznam-protabulkuposledn">
    <w:name w:val="seznam - pro tabulku poslední"/>
    <w:basedOn w:val="seznam-protabulku"/>
    <w:rsid w:val="00145E34"/>
    <w:pPr>
      <w:spacing w:after="40"/>
    </w:pPr>
  </w:style>
  <w:style w:type="paragraph" w:styleId="Seznamsodrkami">
    <w:name w:val="List Bullet"/>
    <w:basedOn w:val="Normln"/>
    <w:semiHidden/>
    <w:rsid w:val="00145E34"/>
    <w:pPr>
      <w:ind w:left="283" w:hanging="283"/>
    </w:pPr>
  </w:style>
  <w:style w:type="paragraph" w:customStyle="1" w:styleId="Prvnodrkaseznamu">
    <w:name w:val="První odrážka seznamu"/>
    <w:basedOn w:val="Seznamsodrkami"/>
    <w:next w:val="Seznamsodrkami"/>
    <w:rsid w:val="00145E34"/>
    <w:pPr>
      <w:tabs>
        <w:tab w:val="clear" w:pos="284"/>
        <w:tab w:val="clear" w:pos="567"/>
        <w:tab w:val="clear" w:pos="851"/>
        <w:tab w:val="clear" w:pos="1134"/>
        <w:tab w:val="clear" w:pos="1418"/>
        <w:tab w:val="clear" w:pos="9072"/>
      </w:tabs>
      <w:spacing w:before="20" w:after="0"/>
      <w:ind w:left="851" w:hanging="284"/>
    </w:pPr>
  </w:style>
  <w:style w:type="paragraph" w:customStyle="1" w:styleId="Poslednodrkaseznamu">
    <w:name w:val="Poslední odrážka seznamu"/>
    <w:basedOn w:val="Seznamsodrkami"/>
    <w:next w:val="Zkladntext"/>
    <w:rsid w:val="00145E34"/>
    <w:pPr>
      <w:tabs>
        <w:tab w:val="clear" w:pos="284"/>
        <w:tab w:val="clear" w:pos="567"/>
        <w:tab w:val="clear" w:pos="851"/>
        <w:tab w:val="clear" w:pos="1134"/>
        <w:tab w:val="clear" w:pos="1418"/>
        <w:tab w:val="clear" w:pos="9072"/>
      </w:tabs>
      <w:spacing w:after="100"/>
      <w:ind w:left="851" w:hanging="284"/>
    </w:pPr>
  </w:style>
  <w:style w:type="paragraph" w:customStyle="1" w:styleId="odrka-vcerovn">
    <w:name w:val="odrážka - víceúrovní"/>
    <w:basedOn w:val="Normln"/>
    <w:rsid w:val="00145E34"/>
  </w:style>
  <w:style w:type="paragraph" w:customStyle="1" w:styleId="odrkau-rovn">
    <w:name w:val="odrážka (u) - úrovně"/>
    <w:basedOn w:val="Zkladntext"/>
    <w:rsid w:val="00145E34"/>
    <w:pPr>
      <w:numPr>
        <w:numId w:val="4"/>
      </w:numPr>
      <w:tabs>
        <w:tab w:val="clear" w:pos="1418"/>
      </w:tabs>
      <w:ind w:left="284" w:hanging="284"/>
    </w:pPr>
  </w:style>
  <w:style w:type="paragraph" w:customStyle="1" w:styleId="odrakao">
    <w:name w:val="odražka (o)"/>
    <w:basedOn w:val="Zkladntext"/>
    <w:rsid w:val="00145E34"/>
    <w:pPr>
      <w:numPr>
        <w:numId w:val="1"/>
      </w:numPr>
    </w:pPr>
  </w:style>
  <w:style w:type="paragraph" w:customStyle="1" w:styleId="odrakaa">
    <w:name w:val="odražka (a)"/>
    <w:basedOn w:val="Zkladntext"/>
    <w:rsid w:val="00145E34"/>
    <w:pPr>
      <w:numPr>
        <w:numId w:val="2"/>
      </w:numPr>
    </w:pPr>
  </w:style>
  <w:style w:type="paragraph" w:customStyle="1" w:styleId="odrazka1-j">
    <w:name w:val="odrazka (1) - &quot;j&quot;"/>
    <w:basedOn w:val="Zkladntext"/>
    <w:rsid w:val="00145E34"/>
    <w:pPr>
      <w:numPr>
        <w:numId w:val="3"/>
      </w:numPr>
    </w:pPr>
  </w:style>
  <w:style w:type="numbering" w:customStyle="1" w:styleId="Styl1">
    <w:name w:val="Styl1"/>
    <w:uiPriority w:val="99"/>
    <w:rsid w:val="00145E34"/>
    <w:pPr>
      <w:numPr>
        <w:numId w:val="5"/>
      </w:numPr>
    </w:pPr>
  </w:style>
  <w:style w:type="numbering" w:customStyle="1" w:styleId="u-rovn-seznam">
    <w:name w:val="u-úrovně-seznam"/>
    <w:uiPriority w:val="99"/>
    <w:rsid w:val="00145E34"/>
    <w:pPr>
      <w:numPr>
        <w:numId w:val="6"/>
      </w:numPr>
    </w:pPr>
  </w:style>
  <w:style w:type="character" w:styleId="Zdraznn">
    <w:name w:val="Emphasis"/>
    <w:basedOn w:val="Standardnpsmoodstavce"/>
    <w:uiPriority w:val="20"/>
    <w:rsid w:val="00145E34"/>
    <w:rPr>
      <w:iCs/>
    </w:rPr>
  </w:style>
  <w:style w:type="paragraph" w:customStyle="1" w:styleId="odrka">
    <w:name w:val="odrážka &gt;"/>
    <w:basedOn w:val="Normln"/>
    <w:link w:val="odrkaChar"/>
    <w:qFormat/>
    <w:rsid w:val="00145E34"/>
    <w:pPr>
      <w:numPr>
        <w:numId w:val="7"/>
      </w:numPr>
    </w:pPr>
  </w:style>
  <w:style w:type="character" w:customStyle="1" w:styleId="odrkaChar">
    <w:name w:val="odrážka &gt; Char"/>
    <w:basedOn w:val="Standardnpsmoodstavce"/>
    <w:link w:val="odrka"/>
    <w:rsid w:val="00145E34"/>
    <w:rPr>
      <w:sz w:val="22"/>
    </w:rPr>
  </w:style>
  <w:style w:type="paragraph" w:styleId="Bezmezer">
    <w:name w:val="No Spacing"/>
    <w:uiPriority w:val="1"/>
    <w:qFormat/>
    <w:rsid w:val="00145E34"/>
    <w:pPr>
      <w:tabs>
        <w:tab w:val="left" w:pos="284"/>
        <w:tab w:val="left" w:pos="567"/>
        <w:tab w:val="left" w:pos="851"/>
        <w:tab w:val="left" w:pos="1134"/>
        <w:tab w:val="left" w:pos="1418"/>
        <w:tab w:val="right" w:pos="9072"/>
      </w:tabs>
      <w:jc w:val="both"/>
    </w:pPr>
    <w:rPr>
      <w:sz w:val="22"/>
    </w:rPr>
  </w:style>
  <w:style w:type="paragraph" w:styleId="Citt">
    <w:name w:val="Quote"/>
    <w:basedOn w:val="Normln"/>
    <w:next w:val="Normln"/>
    <w:link w:val="CittChar"/>
    <w:uiPriority w:val="29"/>
    <w:qFormat/>
    <w:rsid w:val="00145E34"/>
    <w:rPr>
      <w:i/>
      <w:iCs/>
      <w:color w:val="000000" w:themeColor="text1"/>
    </w:rPr>
  </w:style>
  <w:style w:type="character" w:customStyle="1" w:styleId="CittChar">
    <w:name w:val="Citát Char"/>
    <w:basedOn w:val="Standardnpsmoodstavce"/>
    <w:link w:val="Citt"/>
    <w:uiPriority w:val="29"/>
    <w:rsid w:val="00145E34"/>
    <w:rPr>
      <w:i/>
      <w:iCs/>
      <w:color w:val="000000" w:themeColor="text1"/>
      <w:sz w:val="22"/>
    </w:rPr>
  </w:style>
  <w:style w:type="paragraph" w:customStyle="1" w:styleId="odrka1">
    <w:name w:val="odrážka 1)"/>
    <w:basedOn w:val="Zkladntext"/>
    <w:link w:val="odrka1Char"/>
    <w:qFormat/>
    <w:rsid w:val="00145E34"/>
    <w:pPr>
      <w:numPr>
        <w:numId w:val="16"/>
      </w:numPr>
    </w:pPr>
  </w:style>
  <w:style w:type="character" w:customStyle="1" w:styleId="ZkladntextChar">
    <w:name w:val="Základní text Char"/>
    <w:basedOn w:val="Standardnpsmoodstavce"/>
    <w:link w:val="Zkladntext"/>
    <w:semiHidden/>
    <w:rsid w:val="00145E34"/>
    <w:rPr>
      <w:sz w:val="22"/>
    </w:rPr>
  </w:style>
  <w:style w:type="character" w:customStyle="1" w:styleId="odrka1Char">
    <w:name w:val="odrážka 1) Char"/>
    <w:basedOn w:val="ZkladntextChar"/>
    <w:link w:val="odrka1"/>
    <w:rsid w:val="00145E34"/>
    <w:rPr>
      <w:sz w:val="22"/>
    </w:rPr>
  </w:style>
  <w:style w:type="table" w:styleId="Mkatabulky">
    <w:name w:val="Table Grid"/>
    <w:basedOn w:val="Normlntabulka"/>
    <w:uiPriority w:val="59"/>
    <w:rsid w:val="00ED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E69C1"/>
    <w:rPr>
      <w:sz w:val="16"/>
      <w:szCs w:val="16"/>
    </w:rPr>
  </w:style>
  <w:style w:type="paragraph" w:styleId="Textkomente">
    <w:name w:val="annotation text"/>
    <w:basedOn w:val="Normln"/>
    <w:link w:val="TextkomenteChar"/>
    <w:uiPriority w:val="99"/>
    <w:unhideWhenUsed/>
    <w:rsid w:val="00CE69C1"/>
  </w:style>
  <w:style w:type="character" w:customStyle="1" w:styleId="TextkomenteChar">
    <w:name w:val="Text komentáře Char"/>
    <w:basedOn w:val="Standardnpsmoodstavce"/>
    <w:link w:val="Textkomente"/>
    <w:uiPriority w:val="99"/>
    <w:rsid w:val="00CE69C1"/>
  </w:style>
  <w:style w:type="paragraph" w:styleId="Pedmtkomente">
    <w:name w:val="annotation subject"/>
    <w:basedOn w:val="Textkomente"/>
    <w:next w:val="Textkomente"/>
    <w:link w:val="PedmtkomenteChar"/>
    <w:uiPriority w:val="99"/>
    <w:semiHidden/>
    <w:unhideWhenUsed/>
    <w:rsid w:val="00CE69C1"/>
    <w:rPr>
      <w:b/>
      <w:bCs/>
    </w:rPr>
  </w:style>
  <w:style w:type="character" w:customStyle="1" w:styleId="PedmtkomenteChar">
    <w:name w:val="Předmět komentáře Char"/>
    <w:basedOn w:val="TextkomenteChar"/>
    <w:link w:val="Pedmtkomente"/>
    <w:uiPriority w:val="99"/>
    <w:semiHidden/>
    <w:rsid w:val="00CE69C1"/>
    <w:rPr>
      <w:b/>
      <w:bCs/>
    </w:rPr>
  </w:style>
  <w:style w:type="paragraph" w:styleId="Textbubliny">
    <w:name w:val="Balloon Text"/>
    <w:basedOn w:val="Normln"/>
    <w:link w:val="TextbublinyChar"/>
    <w:uiPriority w:val="99"/>
    <w:semiHidden/>
    <w:unhideWhenUsed/>
    <w:rsid w:val="00CE69C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69C1"/>
    <w:rPr>
      <w:rFonts w:ascii="Tahoma" w:hAnsi="Tahoma" w:cs="Tahoma"/>
      <w:sz w:val="16"/>
      <w:szCs w:val="16"/>
    </w:rPr>
  </w:style>
  <w:style w:type="paragraph" w:styleId="Revize">
    <w:name w:val="Revision"/>
    <w:hidden/>
    <w:uiPriority w:val="99"/>
    <w:semiHidden/>
    <w:rsid w:val="001B3E7F"/>
    <w:rPr>
      <w:sz w:val="22"/>
    </w:rPr>
  </w:style>
  <w:style w:type="paragraph" w:styleId="Normlnweb">
    <w:name w:val="Normal (Web)"/>
    <w:basedOn w:val="Normln"/>
    <w:uiPriority w:val="99"/>
    <w:semiHidden/>
    <w:unhideWhenUsed/>
    <w:rsid w:val="00365545"/>
    <w:pPr>
      <w:tabs>
        <w:tab w:val="clear" w:pos="284"/>
        <w:tab w:val="clear" w:pos="567"/>
        <w:tab w:val="clear" w:pos="851"/>
        <w:tab w:val="clear" w:pos="1134"/>
        <w:tab w:val="clear" w:pos="1418"/>
        <w:tab w:val="clear" w:pos="9072"/>
      </w:tabs>
      <w:spacing w:before="100" w:beforeAutospacing="1" w:after="100" w:afterAutospacing="1"/>
    </w:pPr>
    <w:rPr>
      <w:sz w:val="24"/>
      <w:szCs w:val="24"/>
    </w:rPr>
  </w:style>
  <w:style w:type="paragraph" w:styleId="Odstavecseseznamem">
    <w:name w:val="List Paragraph"/>
    <w:aliases w:val="Reference List,Nad,Odstavec cíl se seznamem,Odstavec se seznamem5,Odstavec_muj"/>
    <w:basedOn w:val="Normln"/>
    <w:link w:val="OdstavecseseznamemChar"/>
    <w:uiPriority w:val="34"/>
    <w:qFormat/>
    <w:rsid w:val="001C1A2A"/>
    <w:pPr>
      <w:ind w:left="720"/>
      <w:contextualSpacing/>
    </w:pPr>
  </w:style>
  <w:style w:type="table" w:customStyle="1" w:styleId="Style1">
    <w:name w:val="Style1"/>
    <w:basedOn w:val="Normlntabulka"/>
    <w:uiPriority w:val="99"/>
    <w:rsid w:val="001A185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style>
  <w:style w:type="character" w:styleId="Zstupntext">
    <w:name w:val="Placeholder Text"/>
    <w:basedOn w:val="Standardnpsmoodstavce"/>
    <w:uiPriority w:val="99"/>
    <w:semiHidden/>
    <w:rsid w:val="00406938"/>
    <w:rPr>
      <w:color w:val="808080"/>
    </w:rPr>
  </w:style>
  <w:style w:type="character" w:styleId="Hypertextovodkaz">
    <w:name w:val="Hyperlink"/>
    <w:basedOn w:val="Standardnpsmoodstavce"/>
    <w:uiPriority w:val="99"/>
    <w:unhideWhenUsed/>
    <w:rsid w:val="004E2F39"/>
    <w:rPr>
      <w:color w:val="0000FF" w:themeColor="hyperlink"/>
      <w:u w:val="single"/>
    </w:rPr>
  </w:style>
  <w:style w:type="paragraph" w:customStyle="1" w:styleId="Default">
    <w:name w:val="Default"/>
    <w:rsid w:val="003B181A"/>
    <w:pPr>
      <w:autoSpaceDE w:val="0"/>
      <w:autoSpaceDN w:val="0"/>
      <w:adjustRightInd w:val="0"/>
    </w:pPr>
    <w:rPr>
      <w:color w:val="000000"/>
      <w:sz w:val="24"/>
      <w:szCs w:val="24"/>
    </w:rPr>
  </w:style>
  <w:style w:type="character" w:customStyle="1" w:styleId="OdstavecseseznamemChar">
    <w:name w:val="Odstavec se seznamem Char"/>
    <w:aliases w:val="Reference List Char,Nad Char,Odstavec cíl se seznamem Char,Odstavec se seznamem5 Char,Odstavec_muj Char"/>
    <w:link w:val="Odstavecseseznamem"/>
    <w:uiPriority w:val="34"/>
    <w:locked/>
    <w:rsid w:val="00F16F8A"/>
    <w:rPr>
      <w:sz w:val="22"/>
    </w:rPr>
  </w:style>
  <w:style w:type="character" w:customStyle="1" w:styleId="Nadpis2Char">
    <w:name w:val="Nadpis 2 Char"/>
    <w:basedOn w:val="Standardnpsmoodstavce"/>
    <w:link w:val="Nadpis2"/>
    <w:rsid w:val="006C162E"/>
    <w:rPr>
      <w:rFonts w:ascii="Arial" w:hAnsi="Arial"/>
      <w:b/>
      <w:i/>
      <w:kern w:val="28"/>
      <w:sz w:val="28"/>
    </w:rPr>
  </w:style>
  <w:style w:type="character" w:customStyle="1" w:styleId="Nevyeenzmnka1">
    <w:name w:val="Nevyřešená zmínka1"/>
    <w:basedOn w:val="Standardnpsmoodstavce"/>
    <w:uiPriority w:val="99"/>
    <w:semiHidden/>
    <w:unhideWhenUsed/>
    <w:rsid w:val="00C34C53"/>
    <w:rPr>
      <w:color w:val="605E5C"/>
      <w:shd w:val="clear" w:color="auto" w:fill="E1DFDD"/>
    </w:rPr>
  </w:style>
  <w:style w:type="paragraph" w:customStyle="1" w:styleId="Odrka1rove">
    <w:name w:val="Odrážka 1 úroveň"/>
    <w:basedOn w:val="Normln"/>
    <w:link w:val="Odrka1roveChar"/>
    <w:uiPriority w:val="2"/>
    <w:qFormat/>
    <w:rsid w:val="0095205C"/>
    <w:pPr>
      <w:numPr>
        <w:numId w:val="58"/>
      </w:numPr>
      <w:tabs>
        <w:tab w:val="clear" w:pos="284"/>
        <w:tab w:val="clear" w:pos="567"/>
        <w:tab w:val="clear" w:pos="851"/>
        <w:tab w:val="clear" w:pos="1134"/>
        <w:tab w:val="clear" w:pos="1418"/>
        <w:tab w:val="clear" w:pos="9072"/>
      </w:tabs>
      <w:spacing w:before="80" w:after="0"/>
      <w:jc w:val="both"/>
    </w:pPr>
  </w:style>
  <w:style w:type="character" w:customStyle="1" w:styleId="Odrka1roveChar">
    <w:name w:val="Odrážka 1 úroveň Char"/>
    <w:basedOn w:val="Standardnpsmoodstavce"/>
    <w:link w:val="Odrka1rove"/>
    <w:uiPriority w:val="2"/>
    <w:rsid w:val="0095205C"/>
    <w:rPr>
      <w:rFonts w:ascii="Arial" w:hAnsi="Arial"/>
    </w:rPr>
  </w:style>
  <w:style w:type="paragraph" w:styleId="Nadpisobsahu">
    <w:name w:val="TOC Heading"/>
    <w:basedOn w:val="Nadpis1"/>
    <w:next w:val="Normln"/>
    <w:uiPriority w:val="39"/>
    <w:unhideWhenUsed/>
    <w:qFormat/>
    <w:rsid w:val="00760979"/>
    <w:pPr>
      <w:keepLines/>
      <w:numPr>
        <w:numId w:val="0"/>
      </w:numPr>
      <w:tabs>
        <w:tab w:val="clear" w:pos="284"/>
        <w:tab w:val="clear" w:pos="567"/>
        <w:tab w:val="clear" w:pos="851"/>
        <w:tab w:val="clear" w:pos="1134"/>
        <w:tab w:val="clear" w:pos="1418"/>
        <w:tab w:val="clear" w:pos="9072"/>
      </w:tabs>
      <w:spacing w:before="240" w:after="0" w:line="259" w:lineRule="auto"/>
      <w:outlineLvl w:val="9"/>
    </w:pPr>
    <w:rPr>
      <w:rFonts w:asciiTheme="majorHAnsi" w:eastAsiaTheme="majorEastAsia" w:hAnsiTheme="majorHAnsi" w:cstheme="majorBidi"/>
      <w:b w:val="0"/>
      <w:color w:val="365F91" w:themeColor="accent1" w:themeShade="BF"/>
      <w:kern w:val="0"/>
      <w:szCs w:val="32"/>
    </w:rPr>
  </w:style>
  <w:style w:type="character" w:customStyle="1" w:styleId="TextpoznpodarouChar">
    <w:name w:val="Text pozn. pod čarou Char"/>
    <w:basedOn w:val="Standardnpsmoodstavce"/>
    <w:link w:val="Textpoznpodarou"/>
    <w:semiHidden/>
    <w:rsid w:val="000E431A"/>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7911">
      <w:bodyDiv w:val="1"/>
      <w:marLeft w:val="0"/>
      <w:marRight w:val="0"/>
      <w:marTop w:val="0"/>
      <w:marBottom w:val="0"/>
      <w:divBdr>
        <w:top w:val="none" w:sz="0" w:space="0" w:color="auto"/>
        <w:left w:val="none" w:sz="0" w:space="0" w:color="auto"/>
        <w:bottom w:val="none" w:sz="0" w:space="0" w:color="auto"/>
        <w:right w:val="none" w:sz="0" w:space="0" w:color="auto"/>
      </w:divBdr>
    </w:div>
    <w:div w:id="299187421">
      <w:bodyDiv w:val="1"/>
      <w:marLeft w:val="0"/>
      <w:marRight w:val="0"/>
      <w:marTop w:val="0"/>
      <w:marBottom w:val="0"/>
      <w:divBdr>
        <w:top w:val="none" w:sz="0" w:space="0" w:color="auto"/>
        <w:left w:val="none" w:sz="0" w:space="0" w:color="auto"/>
        <w:bottom w:val="none" w:sz="0" w:space="0" w:color="auto"/>
        <w:right w:val="none" w:sz="0" w:space="0" w:color="auto"/>
      </w:divBdr>
    </w:div>
    <w:div w:id="379211550">
      <w:bodyDiv w:val="1"/>
      <w:marLeft w:val="0"/>
      <w:marRight w:val="0"/>
      <w:marTop w:val="0"/>
      <w:marBottom w:val="0"/>
      <w:divBdr>
        <w:top w:val="none" w:sz="0" w:space="0" w:color="auto"/>
        <w:left w:val="none" w:sz="0" w:space="0" w:color="auto"/>
        <w:bottom w:val="none" w:sz="0" w:space="0" w:color="auto"/>
        <w:right w:val="none" w:sz="0" w:space="0" w:color="auto"/>
      </w:divBdr>
      <w:divsChild>
        <w:div w:id="90319912">
          <w:marLeft w:val="965"/>
          <w:marRight w:val="0"/>
          <w:marTop w:val="62"/>
          <w:marBottom w:val="0"/>
          <w:divBdr>
            <w:top w:val="none" w:sz="0" w:space="0" w:color="auto"/>
            <w:left w:val="none" w:sz="0" w:space="0" w:color="auto"/>
            <w:bottom w:val="none" w:sz="0" w:space="0" w:color="auto"/>
            <w:right w:val="none" w:sz="0" w:space="0" w:color="auto"/>
          </w:divBdr>
        </w:div>
        <w:div w:id="1143086830">
          <w:marLeft w:val="965"/>
          <w:marRight w:val="0"/>
          <w:marTop w:val="62"/>
          <w:marBottom w:val="0"/>
          <w:divBdr>
            <w:top w:val="none" w:sz="0" w:space="0" w:color="auto"/>
            <w:left w:val="none" w:sz="0" w:space="0" w:color="auto"/>
            <w:bottom w:val="none" w:sz="0" w:space="0" w:color="auto"/>
            <w:right w:val="none" w:sz="0" w:space="0" w:color="auto"/>
          </w:divBdr>
        </w:div>
        <w:div w:id="1671954980">
          <w:marLeft w:val="965"/>
          <w:marRight w:val="0"/>
          <w:marTop w:val="62"/>
          <w:marBottom w:val="0"/>
          <w:divBdr>
            <w:top w:val="none" w:sz="0" w:space="0" w:color="auto"/>
            <w:left w:val="none" w:sz="0" w:space="0" w:color="auto"/>
            <w:bottom w:val="none" w:sz="0" w:space="0" w:color="auto"/>
            <w:right w:val="none" w:sz="0" w:space="0" w:color="auto"/>
          </w:divBdr>
        </w:div>
        <w:div w:id="1684627125">
          <w:marLeft w:val="965"/>
          <w:marRight w:val="0"/>
          <w:marTop w:val="62"/>
          <w:marBottom w:val="0"/>
          <w:divBdr>
            <w:top w:val="none" w:sz="0" w:space="0" w:color="auto"/>
            <w:left w:val="none" w:sz="0" w:space="0" w:color="auto"/>
            <w:bottom w:val="none" w:sz="0" w:space="0" w:color="auto"/>
            <w:right w:val="none" w:sz="0" w:space="0" w:color="auto"/>
          </w:divBdr>
        </w:div>
        <w:div w:id="1764915569">
          <w:marLeft w:val="965"/>
          <w:marRight w:val="0"/>
          <w:marTop w:val="62"/>
          <w:marBottom w:val="0"/>
          <w:divBdr>
            <w:top w:val="none" w:sz="0" w:space="0" w:color="auto"/>
            <w:left w:val="none" w:sz="0" w:space="0" w:color="auto"/>
            <w:bottom w:val="none" w:sz="0" w:space="0" w:color="auto"/>
            <w:right w:val="none" w:sz="0" w:space="0" w:color="auto"/>
          </w:divBdr>
        </w:div>
        <w:div w:id="2092896302">
          <w:marLeft w:val="965"/>
          <w:marRight w:val="0"/>
          <w:marTop w:val="62"/>
          <w:marBottom w:val="0"/>
          <w:divBdr>
            <w:top w:val="none" w:sz="0" w:space="0" w:color="auto"/>
            <w:left w:val="none" w:sz="0" w:space="0" w:color="auto"/>
            <w:bottom w:val="none" w:sz="0" w:space="0" w:color="auto"/>
            <w:right w:val="none" w:sz="0" w:space="0" w:color="auto"/>
          </w:divBdr>
        </w:div>
      </w:divsChild>
    </w:div>
    <w:div w:id="515966941">
      <w:bodyDiv w:val="1"/>
      <w:marLeft w:val="0"/>
      <w:marRight w:val="0"/>
      <w:marTop w:val="0"/>
      <w:marBottom w:val="0"/>
      <w:divBdr>
        <w:top w:val="none" w:sz="0" w:space="0" w:color="auto"/>
        <w:left w:val="none" w:sz="0" w:space="0" w:color="auto"/>
        <w:bottom w:val="none" w:sz="0" w:space="0" w:color="auto"/>
        <w:right w:val="none" w:sz="0" w:space="0" w:color="auto"/>
      </w:divBdr>
    </w:div>
    <w:div w:id="521675499">
      <w:bodyDiv w:val="1"/>
      <w:marLeft w:val="0"/>
      <w:marRight w:val="0"/>
      <w:marTop w:val="0"/>
      <w:marBottom w:val="0"/>
      <w:divBdr>
        <w:top w:val="none" w:sz="0" w:space="0" w:color="auto"/>
        <w:left w:val="none" w:sz="0" w:space="0" w:color="auto"/>
        <w:bottom w:val="none" w:sz="0" w:space="0" w:color="auto"/>
        <w:right w:val="none" w:sz="0" w:space="0" w:color="auto"/>
      </w:divBdr>
    </w:div>
    <w:div w:id="568199749">
      <w:bodyDiv w:val="1"/>
      <w:marLeft w:val="0"/>
      <w:marRight w:val="0"/>
      <w:marTop w:val="0"/>
      <w:marBottom w:val="0"/>
      <w:divBdr>
        <w:top w:val="none" w:sz="0" w:space="0" w:color="auto"/>
        <w:left w:val="none" w:sz="0" w:space="0" w:color="auto"/>
        <w:bottom w:val="none" w:sz="0" w:space="0" w:color="auto"/>
        <w:right w:val="none" w:sz="0" w:space="0" w:color="auto"/>
      </w:divBdr>
    </w:div>
    <w:div w:id="893352825">
      <w:bodyDiv w:val="1"/>
      <w:marLeft w:val="0"/>
      <w:marRight w:val="0"/>
      <w:marTop w:val="0"/>
      <w:marBottom w:val="0"/>
      <w:divBdr>
        <w:top w:val="none" w:sz="0" w:space="0" w:color="auto"/>
        <w:left w:val="none" w:sz="0" w:space="0" w:color="auto"/>
        <w:bottom w:val="none" w:sz="0" w:space="0" w:color="auto"/>
        <w:right w:val="none" w:sz="0" w:space="0" w:color="auto"/>
      </w:divBdr>
    </w:div>
    <w:div w:id="947392302">
      <w:bodyDiv w:val="1"/>
      <w:marLeft w:val="0"/>
      <w:marRight w:val="0"/>
      <w:marTop w:val="0"/>
      <w:marBottom w:val="0"/>
      <w:divBdr>
        <w:top w:val="none" w:sz="0" w:space="0" w:color="auto"/>
        <w:left w:val="none" w:sz="0" w:space="0" w:color="auto"/>
        <w:bottom w:val="none" w:sz="0" w:space="0" w:color="auto"/>
        <w:right w:val="none" w:sz="0" w:space="0" w:color="auto"/>
      </w:divBdr>
      <w:divsChild>
        <w:div w:id="1391228894">
          <w:marLeft w:val="547"/>
          <w:marRight w:val="0"/>
          <w:marTop w:val="106"/>
          <w:marBottom w:val="0"/>
          <w:divBdr>
            <w:top w:val="none" w:sz="0" w:space="0" w:color="auto"/>
            <w:left w:val="none" w:sz="0" w:space="0" w:color="auto"/>
            <w:bottom w:val="none" w:sz="0" w:space="0" w:color="auto"/>
            <w:right w:val="none" w:sz="0" w:space="0" w:color="auto"/>
          </w:divBdr>
        </w:div>
        <w:div w:id="1481533489">
          <w:marLeft w:val="547"/>
          <w:marRight w:val="0"/>
          <w:marTop w:val="106"/>
          <w:marBottom w:val="0"/>
          <w:divBdr>
            <w:top w:val="none" w:sz="0" w:space="0" w:color="auto"/>
            <w:left w:val="none" w:sz="0" w:space="0" w:color="auto"/>
            <w:bottom w:val="none" w:sz="0" w:space="0" w:color="auto"/>
            <w:right w:val="none" w:sz="0" w:space="0" w:color="auto"/>
          </w:divBdr>
        </w:div>
        <w:div w:id="1719862015">
          <w:marLeft w:val="547"/>
          <w:marRight w:val="0"/>
          <w:marTop w:val="106"/>
          <w:marBottom w:val="0"/>
          <w:divBdr>
            <w:top w:val="none" w:sz="0" w:space="0" w:color="auto"/>
            <w:left w:val="none" w:sz="0" w:space="0" w:color="auto"/>
            <w:bottom w:val="none" w:sz="0" w:space="0" w:color="auto"/>
            <w:right w:val="none" w:sz="0" w:space="0" w:color="auto"/>
          </w:divBdr>
        </w:div>
      </w:divsChild>
    </w:div>
    <w:div w:id="1229993170">
      <w:bodyDiv w:val="1"/>
      <w:marLeft w:val="0"/>
      <w:marRight w:val="0"/>
      <w:marTop w:val="0"/>
      <w:marBottom w:val="0"/>
      <w:divBdr>
        <w:top w:val="none" w:sz="0" w:space="0" w:color="auto"/>
        <w:left w:val="none" w:sz="0" w:space="0" w:color="auto"/>
        <w:bottom w:val="none" w:sz="0" w:space="0" w:color="auto"/>
        <w:right w:val="none" w:sz="0" w:space="0" w:color="auto"/>
      </w:divBdr>
    </w:div>
    <w:div w:id="1373923526">
      <w:bodyDiv w:val="1"/>
      <w:marLeft w:val="0"/>
      <w:marRight w:val="0"/>
      <w:marTop w:val="0"/>
      <w:marBottom w:val="0"/>
      <w:divBdr>
        <w:top w:val="none" w:sz="0" w:space="0" w:color="auto"/>
        <w:left w:val="none" w:sz="0" w:space="0" w:color="auto"/>
        <w:bottom w:val="none" w:sz="0" w:space="0" w:color="auto"/>
        <w:right w:val="none" w:sz="0" w:space="0" w:color="auto"/>
      </w:divBdr>
    </w:div>
    <w:div w:id="1549368498">
      <w:bodyDiv w:val="1"/>
      <w:marLeft w:val="0"/>
      <w:marRight w:val="0"/>
      <w:marTop w:val="0"/>
      <w:marBottom w:val="0"/>
      <w:divBdr>
        <w:top w:val="none" w:sz="0" w:space="0" w:color="auto"/>
        <w:left w:val="none" w:sz="0" w:space="0" w:color="auto"/>
        <w:bottom w:val="none" w:sz="0" w:space="0" w:color="auto"/>
        <w:right w:val="none" w:sz="0" w:space="0" w:color="auto"/>
      </w:divBdr>
    </w:div>
    <w:div w:id="1707868844">
      <w:bodyDiv w:val="1"/>
      <w:marLeft w:val="0"/>
      <w:marRight w:val="0"/>
      <w:marTop w:val="0"/>
      <w:marBottom w:val="0"/>
      <w:divBdr>
        <w:top w:val="none" w:sz="0" w:space="0" w:color="auto"/>
        <w:left w:val="none" w:sz="0" w:space="0" w:color="auto"/>
        <w:bottom w:val="none" w:sz="0" w:space="0" w:color="auto"/>
        <w:right w:val="none" w:sz="0" w:space="0" w:color="auto"/>
      </w:divBdr>
    </w:div>
    <w:div w:id="1757557587">
      <w:bodyDiv w:val="1"/>
      <w:marLeft w:val="0"/>
      <w:marRight w:val="0"/>
      <w:marTop w:val="0"/>
      <w:marBottom w:val="0"/>
      <w:divBdr>
        <w:top w:val="none" w:sz="0" w:space="0" w:color="auto"/>
        <w:left w:val="none" w:sz="0" w:space="0" w:color="auto"/>
        <w:bottom w:val="none" w:sz="0" w:space="0" w:color="auto"/>
        <w:right w:val="none" w:sz="0" w:space="0" w:color="auto"/>
      </w:divBdr>
    </w:div>
    <w:div w:id="1890410493">
      <w:bodyDiv w:val="1"/>
      <w:marLeft w:val="0"/>
      <w:marRight w:val="0"/>
      <w:marTop w:val="0"/>
      <w:marBottom w:val="0"/>
      <w:divBdr>
        <w:top w:val="none" w:sz="0" w:space="0" w:color="auto"/>
        <w:left w:val="none" w:sz="0" w:space="0" w:color="auto"/>
        <w:bottom w:val="none" w:sz="0" w:space="0" w:color="auto"/>
        <w:right w:val="none" w:sz="0" w:space="0" w:color="auto"/>
      </w:divBdr>
    </w:div>
    <w:div w:id="1899511204">
      <w:bodyDiv w:val="1"/>
      <w:marLeft w:val="0"/>
      <w:marRight w:val="0"/>
      <w:marTop w:val="0"/>
      <w:marBottom w:val="0"/>
      <w:divBdr>
        <w:top w:val="none" w:sz="0" w:space="0" w:color="auto"/>
        <w:left w:val="none" w:sz="0" w:space="0" w:color="auto"/>
        <w:bottom w:val="none" w:sz="0" w:space="0" w:color="auto"/>
        <w:right w:val="none" w:sz="0" w:space="0" w:color="auto"/>
      </w:divBdr>
    </w:div>
    <w:div w:id="20984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archi.gov.cz/znalostni_baze:aisp_editace_udaju"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rchi.gov.cz/znalostni_baze:aisp_editace_udaju" TargetMode="Externa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rchi.gov.cz/znalostni_baze:digitalni_priruc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345;&#237;&#353;ek\Documents\@Dokumenty\Normal-JV.do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zn_x00e1_mka xmlns="0a878acb-39c6-4ea7-8bdf-3bb46580a8be">Pracovní verze pro distribuci a sběr připomínek.</Pozn_x00e1_mk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D370-D66A-4A71-8054-4814C1FC4BF6}">
  <ds:schemaRefs>
    <ds:schemaRef ds:uri="http://schemas.microsoft.com/office/2006/metadata/properties"/>
    <ds:schemaRef ds:uri="http://schemas.microsoft.com/office/infopath/2007/PartnerControls"/>
    <ds:schemaRef ds:uri="0a878acb-39c6-4ea7-8bdf-3bb46580a8be"/>
  </ds:schemaRefs>
</ds:datastoreItem>
</file>

<file path=customXml/itemProps2.xml><?xml version="1.0" encoding="utf-8"?>
<ds:datastoreItem xmlns:ds="http://schemas.openxmlformats.org/officeDocument/2006/customXml" ds:itemID="{BE00ECD2-40F1-4B9A-A3D9-078397B09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095E0-8F65-4950-A9CC-B208E47D52C5}">
  <ds:schemaRefs>
    <ds:schemaRef ds:uri="http://schemas.microsoft.com/sharepoint/v3/contenttype/forms"/>
  </ds:schemaRefs>
</ds:datastoreItem>
</file>

<file path=customXml/itemProps4.xml><?xml version="1.0" encoding="utf-8"?>
<ds:datastoreItem xmlns:ds="http://schemas.openxmlformats.org/officeDocument/2006/customXml" ds:itemID="{FF1B26AB-44FE-42EB-A787-8F389BF9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Normal-JV.dotm</Template>
  <TotalTime>7</TotalTime>
  <Pages>31</Pages>
  <Words>12898</Words>
  <Characters>76100</Characters>
  <Application>Microsoft Office Word</Application>
  <DocSecurity>0</DocSecurity>
  <Lines>634</Lines>
  <Paragraphs>177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Metodika ukazatele TCO ISVS dle OHA MV ČR.</vt:lpstr>
      <vt:lpstr>Charakteristika současných IS/IT a trendy IS/IT</vt:lpstr>
    </vt:vector>
  </TitlesOfParts>
  <Company>Vysoká škola ekonomická</Company>
  <LinksUpToDate>false</LinksUpToDate>
  <CharactersWithSpaces>88821</CharactersWithSpaces>
  <SharedDoc>false</SharedDoc>
  <HLinks>
    <vt:vector size="66" baseType="variant">
      <vt:variant>
        <vt:i4>4784240</vt:i4>
      </vt:variant>
      <vt:variant>
        <vt:i4>19136</vt:i4>
      </vt:variant>
      <vt:variant>
        <vt:i4>1025</vt:i4>
      </vt:variant>
      <vt:variant>
        <vt:i4>1</vt:i4>
      </vt:variant>
      <vt:variant>
        <vt:lpwstr>C:\@VORISEK\LIBRARY\@KNIHA\-obr-wmf\superdal.WMF</vt:lpwstr>
      </vt:variant>
      <vt:variant>
        <vt:lpwstr/>
      </vt:variant>
      <vt:variant>
        <vt:i4>4587618</vt:i4>
      </vt:variant>
      <vt:variant>
        <vt:i4>52786</vt:i4>
      </vt:variant>
      <vt:variant>
        <vt:i4>1026</vt:i4>
      </vt:variant>
      <vt:variant>
        <vt:i4>1</vt:i4>
      </vt:variant>
      <vt:variant>
        <vt:lpwstr>C:\@VORISEK\LIBRARY\@KNIHA\-obr-wmf\orgmodel.WMF</vt:lpwstr>
      </vt:variant>
      <vt:variant>
        <vt:lpwstr/>
      </vt:variant>
      <vt:variant>
        <vt:i4>4128771</vt:i4>
      </vt:variant>
      <vt:variant>
        <vt:i4>91152</vt:i4>
      </vt:variant>
      <vt:variant>
        <vt:i4>1027</vt:i4>
      </vt:variant>
      <vt:variant>
        <vt:i4>1</vt:i4>
      </vt:variant>
      <vt:variant>
        <vt:lpwstr>C:\@VORISEK\LIBRARY\@KNIHA\-obr-wmf\obchod.WMF</vt:lpwstr>
      </vt:variant>
      <vt:variant>
        <vt:lpwstr/>
      </vt:variant>
      <vt:variant>
        <vt:i4>4391030</vt:i4>
      </vt:variant>
      <vt:variant>
        <vt:i4>92372</vt:i4>
      </vt:variant>
      <vt:variant>
        <vt:i4>1028</vt:i4>
      </vt:variant>
      <vt:variant>
        <vt:i4>1</vt:i4>
      </vt:variant>
      <vt:variant>
        <vt:lpwstr>C:\@VORISEK\LIBRARY\@KNIHA\-obr-wmf\hwzswasw.WMF</vt:lpwstr>
      </vt:variant>
      <vt:variant>
        <vt:lpwstr/>
      </vt:variant>
      <vt:variant>
        <vt:i4>7733259</vt:i4>
      </vt:variant>
      <vt:variant>
        <vt:i4>98134</vt:i4>
      </vt:variant>
      <vt:variant>
        <vt:i4>1029</vt:i4>
      </vt:variant>
      <vt:variant>
        <vt:i4>1</vt:i4>
      </vt:variant>
      <vt:variant>
        <vt:lpwstr>C:\@VORISEK\LIBRARY\@KNIHA\-obr-wmf\hw-arch.WMF</vt:lpwstr>
      </vt:variant>
      <vt:variant>
        <vt:lpwstr/>
      </vt:variant>
      <vt:variant>
        <vt:i4>4259941</vt:i4>
      </vt:variant>
      <vt:variant>
        <vt:i4>166260</vt:i4>
      </vt:variant>
      <vt:variant>
        <vt:i4>1030</vt:i4>
      </vt:variant>
      <vt:variant>
        <vt:i4>1</vt:i4>
      </vt:variant>
      <vt:variant>
        <vt:lpwstr>C:\@VORISEK\LIBRARY\@KNIHA\-obr-wmf\vyvojkom.WMF</vt:lpwstr>
      </vt:variant>
      <vt:variant>
        <vt:lpwstr/>
      </vt:variant>
      <vt:variant>
        <vt:i4>5570677</vt:i4>
      </vt:variant>
      <vt:variant>
        <vt:i4>170156</vt:i4>
      </vt:variant>
      <vt:variant>
        <vt:i4>1031</vt:i4>
      </vt:variant>
      <vt:variant>
        <vt:i4>1</vt:i4>
      </vt:variant>
      <vt:variant>
        <vt:lpwstr>C:\@VORISEK\LIBRARY\@KNIHA\-obr-wmf\dataware.WMF</vt:lpwstr>
      </vt:variant>
      <vt:variant>
        <vt:lpwstr/>
      </vt:variant>
      <vt:variant>
        <vt:i4>2621456</vt:i4>
      </vt:variant>
      <vt:variant>
        <vt:i4>270402</vt:i4>
      </vt:variant>
      <vt:variant>
        <vt:i4>1032</vt:i4>
      </vt:variant>
      <vt:variant>
        <vt:i4>1</vt:i4>
      </vt:variant>
      <vt:variant>
        <vt:lpwstr>C:\@VORISEK\LIBRARY\@KNIHA\-obr-wmf\trh-it1.WMF</vt:lpwstr>
      </vt:variant>
      <vt:variant>
        <vt:lpwstr/>
      </vt:variant>
      <vt:variant>
        <vt:i4>2621459</vt:i4>
      </vt:variant>
      <vt:variant>
        <vt:i4>270854</vt:i4>
      </vt:variant>
      <vt:variant>
        <vt:i4>1033</vt:i4>
      </vt:variant>
      <vt:variant>
        <vt:i4>1</vt:i4>
      </vt:variant>
      <vt:variant>
        <vt:lpwstr>C:\@VORISEK\LIBRARY\@KNIHA\-obr-wmf\trh-it2.WMF</vt:lpwstr>
      </vt:variant>
      <vt:variant>
        <vt:lpwstr/>
      </vt:variant>
      <vt:variant>
        <vt:i4>2621461</vt:i4>
      </vt:variant>
      <vt:variant>
        <vt:i4>271298</vt:i4>
      </vt:variant>
      <vt:variant>
        <vt:i4>1034</vt:i4>
      </vt:variant>
      <vt:variant>
        <vt:i4>1</vt:i4>
      </vt:variant>
      <vt:variant>
        <vt:lpwstr>C:\@VORISEK\LIBRARY\@KNIHA\-obr-wmf\trh-it4.WMF</vt:lpwstr>
      </vt:variant>
      <vt:variant>
        <vt:lpwstr/>
      </vt:variant>
      <vt:variant>
        <vt:i4>2621458</vt:i4>
      </vt:variant>
      <vt:variant>
        <vt:i4>271632</vt:i4>
      </vt:variant>
      <vt:variant>
        <vt:i4>1035</vt:i4>
      </vt:variant>
      <vt:variant>
        <vt:i4>1</vt:i4>
      </vt:variant>
      <vt:variant>
        <vt:lpwstr>C:\@VORISEK\LIBRARY\@KNIHA\-obr-wmf\trh-it3.WMF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 ukazatele TCO ISVS dle OHA MV ČR.</dc:title>
  <dc:subject/>
  <dc:creator>Jiří Voříšek</dc:creator>
  <cp:keywords/>
  <dc:description/>
  <cp:lastModifiedBy>Pavel Hrabě</cp:lastModifiedBy>
  <cp:revision>5</cp:revision>
  <cp:lastPrinted>2015-12-17T19:52:00Z</cp:lastPrinted>
  <dcterms:created xsi:type="dcterms:W3CDTF">2022-12-01T10:15:00Z</dcterms:created>
  <dcterms:modified xsi:type="dcterms:W3CDTF">2023-06-26T07:16:00Z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443d81a0e6142596459321ca7ceb0d9f2c0c521d9414595c662f1dbd61451570</vt:lpwstr>
  </property>
  <property fmtid="{D5CDD505-2E9C-101B-9397-08002B2CF9AE}" pid="3" name="ContentTypeId">
    <vt:lpwstr>0x01010035F43A9A234346478FD3BA183CCDAA5B</vt:lpwstr>
  </property>
</Properties>
</file>